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Минтранса России от 31.08.2020 N 348</w:t>
              <w:br/>
              <w:t xml:space="preserve">"Об утверждении Порядка осуществления весового и габаритного контроля транспортных средств"</w:t>
              <w:br/>
              <w:t xml:space="preserve">(Зарегистрировано в Минюсте России 04.12.2020 N 61252)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4 декабря 2020 г. N 61252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ТРАНСПОРТА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августа 2020 г. N 348</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ОСУЩЕСТВЛЕНИЯ ВЕСОВОГО И ГАБАРИТНОГО КОНТРОЛЯ</w:t>
      </w:r>
    </w:p>
    <w:p>
      <w:pPr>
        <w:pStyle w:val="2"/>
        <w:jc w:val="center"/>
      </w:pPr>
      <w:r>
        <w:rPr>
          <w:sz w:val="20"/>
        </w:rPr>
        <w:t xml:space="preserve">ТРАНСПОРТНЫХ СРЕДСТВ</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частью 9 статьи 31</w:t>
        </w:r>
      </w:hyperlink>
      <w:r>
        <w:rPr>
          <w:sz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2020, N 30, ст. 4765) и </w:t>
      </w:r>
      <w:hyperlink w:history="0" r:id="rId8" w:tooltip="Постановление Правительства РФ от 30.07.2004 N 395 (ред. от 20.07.2023) &quot;Об утверждении Положения о Министерстве транспорта Российской Федерации&quot; {КонсультантПлюс}">
        <w:r>
          <w:rPr>
            <w:sz w:val="20"/>
            <w:color w:val="0000ff"/>
          </w:rPr>
          <w:t xml:space="preserve">подпунктом 5.2.53.31 пункта 5</w:t>
        </w:r>
      </w:hyperlink>
      <w:r>
        <w:rPr>
          <w:sz w:val="20"/>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2009, N 3, ст. 378), приказываю:</w:t>
      </w:r>
    </w:p>
    <w:p>
      <w:pPr>
        <w:pStyle w:val="0"/>
        <w:spacing w:before="200" w:line-rule="auto"/>
        <w:ind w:firstLine="540"/>
        <w:jc w:val="both"/>
      </w:pPr>
      <w:r>
        <w:rPr>
          <w:sz w:val="20"/>
        </w:rPr>
        <w:t xml:space="preserve">1. Утвердить прилагаемый </w:t>
      </w:r>
      <w:hyperlink w:history="0" w:anchor="P28" w:tooltip="ПОРЯДОК">
        <w:r>
          <w:rPr>
            <w:sz w:val="20"/>
            <w:color w:val="0000ff"/>
          </w:rPr>
          <w:t xml:space="preserve">Порядок</w:t>
        </w:r>
      </w:hyperlink>
      <w:r>
        <w:rPr>
          <w:sz w:val="20"/>
        </w:rPr>
        <w:t xml:space="preserve"> осуществления весового и габаритного контроля транспортных средств.</w:t>
      </w:r>
    </w:p>
    <w:p>
      <w:pPr>
        <w:pStyle w:val="0"/>
        <w:spacing w:before="200" w:line-rule="auto"/>
        <w:ind w:firstLine="540"/>
        <w:jc w:val="both"/>
      </w:pPr>
      <w:r>
        <w:rPr>
          <w:sz w:val="20"/>
        </w:rPr>
        <w:t xml:space="preserve">2. Настоящий приказ вступает в силу с 1 января 2021 г. и действует до 1 января 2027 г.</w:t>
      </w:r>
    </w:p>
    <w:p>
      <w:pPr>
        <w:pStyle w:val="0"/>
        <w:jc w:val="both"/>
      </w:pPr>
      <w:r>
        <w:rPr>
          <w:sz w:val="20"/>
        </w:rPr>
      </w:r>
    </w:p>
    <w:p>
      <w:pPr>
        <w:pStyle w:val="0"/>
        <w:jc w:val="right"/>
      </w:pPr>
      <w:r>
        <w:rPr>
          <w:sz w:val="20"/>
        </w:rPr>
        <w:t xml:space="preserve">Министр</w:t>
      </w:r>
    </w:p>
    <w:p>
      <w:pPr>
        <w:pStyle w:val="0"/>
        <w:jc w:val="right"/>
      </w:pPr>
      <w:r>
        <w:rPr>
          <w:sz w:val="20"/>
        </w:rPr>
        <w:t xml:space="preserve">Е.И.ДИТРИХ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Минтранса России</w:t>
      </w:r>
    </w:p>
    <w:p>
      <w:pPr>
        <w:pStyle w:val="0"/>
        <w:jc w:val="right"/>
      </w:pPr>
      <w:r>
        <w:rPr>
          <w:sz w:val="20"/>
        </w:rPr>
        <w:t xml:space="preserve">от 31 августа 2020 г. N 348</w:t>
      </w:r>
    </w:p>
    <w:p>
      <w:pPr>
        <w:pStyle w:val="0"/>
        <w:jc w:val="both"/>
      </w:pPr>
      <w:r>
        <w:rPr>
          <w:sz w:val="20"/>
        </w:rPr>
      </w:r>
    </w:p>
    <w:bookmarkStart w:id="28" w:name="P28"/>
    <w:bookmarkEnd w:id="28"/>
    <w:p>
      <w:pPr>
        <w:pStyle w:val="2"/>
        <w:jc w:val="center"/>
      </w:pPr>
      <w:r>
        <w:rPr>
          <w:sz w:val="20"/>
        </w:rPr>
        <w:t xml:space="preserve">ПОРЯДОК</w:t>
      </w:r>
    </w:p>
    <w:p>
      <w:pPr>
        <w:pStyle w:val="2"/>
        <w:jc w:val="center"/>
      </w:pPr>
      <w:r>
        <w:rPr>
          <w:sz w:val="20"/>
        </w:rPr>
        <w:t xml:space="preserve">ОСУЩЕСТВЛЕНИЯ ВЕСОВОГО И ГАБАРИТНОГО КОНТРОЛЯ</w:t>
      </w:r>
    </w:p>
    <w:p>
      <w:pPr>
        <w:pStyle w:val="2"/>
        <w:jc w:val="center"/>
      </w:pPr>
      <w:r>
        <w:rPr>
          <w:sz w:val="20"/>
        </w:rPr>
        <w:t xml:space="preserve">ТРАНСПОРТНЫХ СРЕДСТВ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осуществления весового и габаритного контроля транспортных средств (далее - Порядок) устанавливает процедуры проведения весового и габаритного контроля (далее - весогабаритный контроль) транспортных средств, оформления результатов проведения весогабаритного контроля транспортных средств, порядок организации пунктов весогабаритного контроля транспортных средств.</w:t>
      </w:r>
    </w:p>
    <w:p>
      <w:pPr>
        <w:pStyle w:val="0"/>
        <w:spacing w:before="200" w:line-rule="auto"/>
        <w:ind w:firstLine="540"/>
        <w:jc w:val="both"/>
      </w:pPr>
      <w:r>
        <w:rPr>
          <w:sz w:val="20"/>
        </w:rPr>
        <w:t xml:space="preserve">2. Весогабаритный контроль транспортных средств, осуществляющих движение в международном сообщении по территории Российской Федерации, организуется в соответствии с международными договорами Российской Федерации, Федеральным </w:t>
      </w:r>
      <w:hyperlink w:history="0" r:id="rId9"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КонсультантПлюс}">
        <w:r>
          <w:rPr>
            <w:sz w:val="20"/>
            <w:color w:val="0000ff"/>
          </w:rPr>
          <w:t xml:space="preserve">законом</w:t>
        </w:r>
      </w:hyperlink>
      <w:r>
        <w:rPr>
          <w:sz w:val="20"/>
        </w:rPr>
        <w:t xml:space="preserve"> от 24 июля 1998 г. N 127-ФЗ "О государственном контроле за осуществлением международных автомобильных перевозок и об ответственности за нарушение порядка их выполнения" &lt;1&gt; и настоящим Порядком.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1998, N 31, ст. 3805; 2020, N 9, ст. 1131.</w:t>
      </w:r>
    </w:p>
    <w:p>
      <w:pPr>
        <w:pStyle w:val="0"/>
        <w:jc w:val="both"/>
      </w:pPr>
      <w:r>
        <w:rPr>
          <w:sz w:val="20"/>
        </w:rPr>
      </w:r>
    </w:p>
    <w:p>
      <w:pPr>
        <w:pStyle w:val="0"/>
        <w:ind w:firstLine="540"/>
        <w:jc w:val="both"/>
      </w:pPr>
      <w:r>
        <w:rPr>
          <w:sz w:val="20"/>
        </w:rPr>
        <w:t xml:space="preserve">3. Весогабаритный контроль транспортных средств на автомобильных дорогах Российской Федерации осуществляется в пунктах весового и габаритного контроля транспортных средств (далее - пункты весогабаритного контроля), организуемых в соответствии с </w:t>
      </w:r>
      <w:hyperlink w:history="0" w:anchor="P190" w:tooltip="IV. Организация пунктов весогабаритного контроля">
        <w:r>
          <w:rPr>
            <w:sz w:val="20"/>
            <w:color w:val="0000ff"/>
          </w:rPr>
          <w:t xml:space="preserve">главой IV</w:t>
        </w:r>
      </w:hyperlink>
      <w:r>
        <w:rPr>
          <w:sz w:val="20"/>
        </w:rPr>
        <w:t xml:space="preserve"> настоящего Порядка, в целях обеспечения сохранности автомобильных дорог.</w:t>
      </w:r>
    </w:p>
    <w:p>
      <w:pPr>
        <w:pStyle w:val="0"/>
        <w:spacing w:before="200" w:line-rule="auto"/>
        <w:ind w:firstLine="540"/>
        <w:jc w:val="both"/>
      </w:pPr>
      <w:r>
        <w:rPr>
          <w:sz w:val="20"/>
        </w:rPr>
        <w:t xml:space="preserve">4. Стационарные пункты весогабаритного контроля транспортных средств (далее - СПВГК) и автоматические пункты весогабаритного контроля транспортных средств (далее - АПВГК) организуются владельцами автомобильных дорог или назначенными ими лицами (далее - оператор СПВГК и оператор АПВГК соответственно) и должны быть обустроены техническими средствами организации дорожного движения в соответствии с проектами организации дорожного движения, разработанными с учетом Правил подготовки документации по организации дорожного движения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Приказ Минтранса России от 30.07.2020 N 274 (ред. от 01.12.2021) &quot;Об утверждении Правил подготовки документации по организации дорожного движения&quot; (Зарегистрировано в Минюсте России 10.11.2020 N 60817) {КонсультантПлюс}">
        <w:r>
          <w:rPr>
            <w:sz w:val="20"/>
            <w:color w:val="0000ff"/>
          </w:rPr>
          <w:t xml:space="preserve">Приказ</w:t>
        </w:r>
      </w:hyperlink>
      <w:r>
        <w:rPr>
          <w:sz w:val="20"/>
        </w:rPr>
        <w:t xml:space="preserve"> Минтранса России от 30 июля 2020 г. N 274 (зарегистрирован Минюстом России 10 ноября 2020 г., регистрационный N 60817).</w:t>
      </w:r>
    </w:p>
    <w:p>
      <w:pPr>
        <w:pStyle w:val="0"/>
        <w:jc w:val="both"/>
      </w:pPr>
      <w:r>
        <w:rPr>
          <w:sz w:val="20"/>
        </w:rPr>
      </w:r>
    </w:p>
    <w:p>
      <w:pPr>
        <w:pStyle w:val="0"/>
        <w:ind w:firstLine="540"/>
        <w:jc w:val="both"/>
      </w:pPr>
      <w:r>
        <w:rPr>
          <w:sz w:val="20"/>
        </w:rPr>
        <w:t xml:space="preserve">5. Передвижные пункты весогабаритного контроля транспортных средств (далее - ППВГК) организуются на базе автомобиля или прицепа на автомобильных дорогах федерального значения уполномоченным контрольно-надзорным органом, а на иных автомобильных дорогах - уполномоченным контрольно-надзорным органом, владельцем таких автомобильных дорог или назначенным им лицом (далее - оператор ППВГК).</w:t>
      </w:r>
    </w:p>
    <w:p>
      <w:pPr>
        <w:pStyle w:val="0"/>
        <w:spacing w:before="200" w:line-rule="auto"/>
        <w:ind w:firstLine="540"/>
        <w:jc w:val="both"/>
      </w:pPr>
      <w:r>
        <w:rPr>
          <w:sz w:val="20"/>
        </w:rPr>
        <w:t xml:space="preserve">6. Весогабаритный контроль осуществляется уполномоченными контрольно-надзорными органами в рамках предоставленных им полномочий.</w:t>
      </w:r>
    </w:p>
    <w:p>
      <w:pPr>
        <w:pStyle w:val="0"/>
        <w:jc w:val="both"/>
      </w:pPr>
      <w:r>
        <w:rPr>
          <w:sz w:val="20"/>
        </w:rPr>
      </w:r>
    </w:p>
    <w:p>
      <w:pPr>
        <w:pStyle w:val="2"/>
        <w:outlineLvl w:val="1"/>
        <w:jc w:val="center"/>
      </w:pPr>
      <w:r>
        <w:rPr>
          <w:sz w:val="20"/>
        </w:rPr>
        <w:t xml:space="preserve">II. Проведение весогабаритного контроля</w:t>
      </w:r>
    </w:p>
    <w:p>
      <w:pPr>
        <w:pStyle w:val="2"/>
        <w:jc w:val="center"/>
      </w:pPr>
      <w:r>
        <w:rPr>
          <w:sz w:val="20"/>
        </w:rPr>
        <w:t xml:space="preserve">транспортных средств</w:t>
      </w:r>
    </w:p>
    <w:p>
      <w:pPr>
        <w:pStyle w:val="0"/>
        <w:jc w:val="both"/>
      </w:pPr>
      <w:r>
        <w:rPr>
          <w:sz w:val="20"/>
        </w:rPr>
      </w:r>
    </w:p>
    <w:p>
      <w:pPr>
        <w:pStyle w:val="0"/>
        <w:ind w:firstLine="540"/>
        <w:jc w:val="both"/>
      </w:pPr>
      <w:r>
        <w:rPr>
          <w:sz w:val="20"/>
        </w:rPr>
        <w:t xml:space="preserve">7. Осуществление весогабаритного контроля на СПВГК и ППВГК включает в себя следующие способы контроля:</w:t>
      </w:r>
    </w:p>
    <w:p>
      <w:pPr>
        <w:pStyle w:val="0"/>
        <w:spacing w:before="200" w:line-rule="auto"/>
        <w:ind w:firstLine="540"/>
        <w:jc w:val="both"/>
      </w:pPr>
      <w:r>
        <w:rPr>
          <w:sz w:val="20"/>
        </w:rPr>
        <w:t xml:space="preserve">1) визуальный;</w:t>
      </w:r>
    </w:p>
    <w:p>
      <w:pPr>
        <w:pStyle w:val="0"/>
        <w:spacing w:before="200" w:line-rule="auto"/>
        <w:ind w:firstLine="540"/>
        <w:jc w:val="both"/>
      </w:pPr>
      <w:r>
        <w:rPr>
          <w:sz w:val="20"/>
        </w:rPr>
        <w:t xml:space="preserve">2) инструментальный;</w:t>
      </w:r>
    </w:p>
    <w:p>
      <w:pPr>
        <w:pStyle w:val="0"/>
        <w:spacing w:before="200" w:line-rule="auto"/>
        <w:ind w:firstLine="540"/>
        <w:jc w:val="both"/>
      </w:pPr>
      <w:r>
        <w:rPr>
          <w:sz w:val="20"/>
        </w:rPr>
        <w:t xml:space="preserve">3) документальный.</w:t>
      </w:r>
    </w:p>
    <w:p>
      <w:pPr>
        <w:pStyle w:val="0"/>
        <w:spacing w:before="200" w:line-rule="auto"/>
        <w:ind w:firstLine="540"/>
        <w:jc w:val="both"/>
      </w:pPr>
      <w:r>
        <w:rPr>
          <w:sz w:val="20"/>
        </w:rPr>
        <w:t xml:space="preserve">8. Визуальный контроль осуществляется должностным лицом уполномоченного контрольно-надзорного органа путем визуального выявления в транспортном потоке транспортного средства с возможным превышением весогабаритных параметров и направления такого транспортного средства к месту размещения СПВГК или ППВГК для измерения весовых и габаритных параметров (далее - весогабаритные параметры).</w:t>
      </w:r>
    </w:p>
    <w:p>
      <w:pPr>
        <w:pStyle w:val="0"/>
        <w:spacing w:before="200" w:line-rule="auto"/>
        <w:ind w:firstLine="540"/>
        <w:jc w:val="both"/>
      </w:pPr>
      <w:r>
        <w:rPr>
          <w:sz w:val="20"/>
        </w:rPr>
        <w:t xml:space="preserve">9. Признаками возможного превышения весогабаритных параметров транспортного средства являются:</w:t>
      </w:r>
    </w:p>
    <w:p>
      <w:pPr>
        <w:pStyle w:val="0"/>
        <w:spacing w:before="200" w:line-rule="auto"/>
        <w:ind w:firstLine="540"/>
        <w:jc w:val="both"/>
      </w:pPr>
      <w:r>
        <w:rPr>
          <w:sz w:val="20"/>
        </w:rPr>
        <w:t xml:space="preserve">1) загрузка сверх бортов кузова или наличие наращенных бортов кузова;</w:t>
      </w:r>
    </w:p>
    <w:p>
      <w:pPr>
        <w:pStyle w:val="0"/>
        <w:spacing w:before="200" w:line-rule="auto"/>
        <w:ind w:firstLine="540"/>
        <w:jc w:val="both"/>
      </w:pPr>
      <w:r>
        <w:rPr>
          <w:sz w:val="20"/>
        </w:rPr>
        <w:t xml:space="preserve">2) просадка узлов подвески;</w:t>
      </w:r>
    </w:p>
    <w:p>
      <w:pPr>
        <w:pStyle w:val="0"/>
        <w:spacing w:before="200" w:line-rule="auto"/>
        <w:ind w:firstLine="540"/>
        <w:jc w:val="both"/>
      </w:pPr>
      <w:r>
        <w:rPr>
          <w:sz w:val="20"/>
        </w:rPr>
        <w:t xml:space="preserve">3) снижение динамических характеристик транспортного средства при движении;</w:t>
      </w:r>
    </w:p>
    <w:p>
      <w:pPr>
        <w:pStyle w:val="0"/>
        <w:spacing w:before="200" w:line-rule="auto"/>
        <w:ind w:firstLine="540"/>
        <w:jc w:val="both"/>
      </w:pPr>
      <w:r>
        <w:rPr>
          <w:sz w:val="20"/>
        </w:rPr>
        <w:t xml:space="preserve">4) выступающий за габариты транспортного средства груз.</w:t>
      </w:r>
    </w:p>
    <w:p>
      <w:pPr>
        <w:pStyle w:val="0"/>
        <w:spacing w:before="200" w:line-rule="auto"/>
        <w:ind w:firstLine="540"/>
        <w:jc w:val="both"/>
      </w:pPr>
      <w:r>
        <w:rPr>
          <w:sz w:val="20"/>
        </w:rPr>
        <w:t xml:space="preserve">10. Визуальный контроль на СПВГК или ППВГК включает:</w:t>
      </w:r>
    </w:p>
    <w:p>
      <w:pPr>
        <w:pStyle w:val="0"/>
        <w:spacing w:before="200" w:line-rule="auto"/>
        <w:ind w:firstLine="540"/>
        <w:jc w:val="both"/>
      </w:pPr>
      <w:r>
        <w:rPr>
          <w:sz w:val="20"/>
        </w:rPr>
        <w:t xml:space="preserve">1) определение типа подвески (пневматическая или эквивалентная ей);</w:t>
      </w:r>
    </w:p>
    <w:p>
      <w:pPr>
        <w:pStyle w:val="0"/>
        <w:spacing w:before="200" w:line-rule="auto"/>
        <w:ind w:firstLine="540"/>
        <w:jc w:val="both"/>
      </w:pPr>
      <w:r>
        <w:rPr>
          <w:sz w:val="20"/>
        </w:rPr>
        <w:t xml:space="preserve">2) определение скатности колес на каждой оси транспортного средства.</w:t>
      </w:r>
    </w:p>
    <w:p>
      <w:pPr>
        <w:pStyle w:val="0"/>
        <w:spacing w:before="200" w:line-rule="auto"/>
        <w:ind w:firstLine="540"/>
        <w:jc w:val="both"/>
      </w:pPr>
      <w:r>
        <w:rPr>
          <w:sz w:val="20"/>
        </w:rPr>
        <w:t xml:space="preserve">11. При наличии на СПВГК работающих в автоматическом режиме специальных технических средств, имеющих функции фото- и киносъемки, видеозаписи для фиксации весогабаритных параметров транспортных средств, решение об остановке транспортного средства может приниматься на основании результатов проверки его весогабаритных параметров такими специальными техническими средствами.</w:t>
      </w:r>
    </w:p>
    <w:p>
      <w:pPr>
        <w:pStyle w:val="0"/>
        <w:spacing w:before="200" w:line-rule="auto"/>
        <w:ind w:firstLine="540"/>
        <w:jc w:val="both"/>
      </w:pPr>
      <w:r>
        <w:rPr>
          <w:sz w:val="20"/>
        </w:rPr>
        <w:t xml:space="preserve">12. Должностным лицом уполномоченного контрольно-надзорного органа самостоятельно либо во взаимодействии с владельцем автомобильной дороги или оператором СПВГК (ППВГК) проводится инструментальный контроль, включающий:</w:t>
      </w:r>
    </w:p>
    <w:p>
      <w:pPr>
        <w:pStyle w:val="0"/>
        <w:spacing w:before="200" w:line-rule="auto"/>
        <w:ind w:firstLine="540"/>
        <w:jc w:val="both"/>
      </w:pPr>
      <w:r>
        <w:rPr>
          <w:sz w:val="20"/>
        </w:rPr>
        <w:t xml:space="preserve">1) измерение габаритных параметров транспортного средства (длина, ширина и высота);</w:t>
      </w:r>
    </w:p>
    <w:p>
      <w:pPr>
        <w:pStyle w:val="0"/>
        <w:spacing w:before="200" w:line-rule="auto"/>
        <w:ind w:firstLine="540"/>
        <w:jc w:val="both"/>
      </w:pPr>
      <w:r>
        <w:rPr>
          <w:sz w:val="20"/>
        </w:rPr>
        <w:t xml:space="preserve">2) измерение расстояний между осями;</w:t>
      </w:r>
    </w:p>
    <w:p>
      <w:pPr>
        <w:pStyle w:val="0"/>
        <w:spacing w:before="200" w:line-rule="auto"/>
        <w:ind w:firstLine="540"/>
        <w:jc w:val="both"/>
      </w:pPr>
      <w:r>
        <w:rPr>
          <w:sz w:val="20"/>
        </w:rPr>
        <w:t xml:space="preserve">3) определение групп сближенных осей;</w:t>
      </w:r>
    </w:p>
    <w:p>
      <w:pPr>
        <w:pStyle w:val="0"/>
        <w:spacing w:before="200" w:line-rule="auto"/>
        <w:ind w:firstLine="540"/>
        <w:jc w:val="both"/>
      </w:pPr>
      <w:r>
        <w:rPr>
          <w:sz w:val="20"/>
        </w:rPr>
        <w:t xml:space="preserve">4) измерение (определение) весовых параметров транспортного средства (нагрузка на ось, нагрузка на группу сближенных осей, масса).</w:t>
      </w:r>
    </w:p>
    <w:p>
      <w:pPr>
        <w:pStyle w:val="0"/>
        <w:spacing w:before="200" w:line-rule="auto"/>
        <w:ind w:firstLine="540"/>
        <w:jc w:val="both"/>
      </w:pPr>
      <w:r>
        <w:rPr>
          <w:sz w:val="20"/>
        </w:rPr>
        <w:t xml:space="preserve">13. При измерении габаритных параметров не учитываются следующие устройства, смонтированные на транспортном средстве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Технический </w:t>
      </w:r>
      <w:hyperlink w:history="0" r:id="rId11"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w:t>
        </w:r>
      </w:hyperlink>
      <w:r>
        <w:rPr>
          <w:sz w:val="20"/>
        </w:rPr>
        <w:t xml:space="preserve"> Таможенного союза "О безопасности колесных транспортных средств" ТР ТС 018/2011, утвержденный решением Комиссии Таможенного союза от 9 декабря 2011 г. N 877, с изменениями, внесенными Решением Совета Евразийской экономической комиссии от 30 января 2013 г. N 6, Решением Совета Евразийской экономической комиссии от 14 октября 2015 г. N 78, Решением Совета Евразийской экономической комиссии от 11 июля 2016 г. N 56, Решением Совета Евразийской экономической комиссии от 16 февраля 2018 г. N 29, Решением Совета Евразийской экономической комиссии от 21 июня 2019 г. N 66 (официальный сайт Комиссии Таможенного союза </w:t>
      </w:r>
      <w:r>
        <w:rPr>
          <w:sz w:val="20"/>
        </w:rPr>
        <w:t xml:space="preserve">http://www.tsouz.ru</w:t>
      </w:r>
      <w:r>
        <w:rPr>
          <w:sz w:val="20"/>
        </w:rPr>
        <w:t xml:space="preserve">, 15 декабря 2011 г.; официальный сайт Евразийской экономической комиссии </w:t>
      </w:r>
      <w:r>
        <w:rPr>
          <w:sz w:val="20"/>
        </w:rPr>
        <w:t xml:space="preserve">http://www.tsouz.ru</w:t>
      </w:r>
      <w:r>
        <w:rPr>
          <w:sz w:val="20"/>
        </w:rPr>
        <w:t xml:space="preserve">, 13 февраля 2013 г.; официальный сайт Евразийского экономического союза </w:t>
      </w:r>
      <w:r>
        <w:rPr>
          <w:sz w:val="20"/>
        </w:rPr>
        <w:t xml:space="preserve">http://www.eaeunion.org</w:t>
      </w:r>
      <w:r>
        <w:rPr>
          <w:sz w:val="20"/>
        </w:rPr>
        <w:t xml:space="preserve">, 7 декабря 2015 г., официальный сайт Евразийского экономического союза </w:t>
      </w:r>
      <w:r>
        <w:rPr>
          <w:sz w:val="20"/>
        </w:rPr>
        <w:t xml:space="preserve">http://www.eaeunion.org</w:t>
      </w:r>
      <w:r>
        <w:rPr>
          <w:sz w:val="20"/>
        </w:rPr>
        <w:t xml:space="preserve">, 16 августа 2016 г., официальный сайт Евразийского экономического союза </w:t>
      </w:r>
      <w:r>
        <w:rPr>
          <w:sz w:val="20"/>
        </w:rPr>
        <w:t xml:space="preserve">http://www.eaeunion.org</w:t>
      </w:r>
      <w:r>
        <w:rPr>
          <w:sz w:val="20"/>
        </w:rPr>
        <w:t xml:space="preserve">, 15 мая 2018 г., официальный сайт Евразийского экономического союза </w:t>
      </w:r>
      <w:r>
        <w:rPr>
          <w:sz w:val="20"/>
        </w:rPr>
        <w:t xml:space="preserve">http://www.eaeunion.org</w:t>
      </w:r>
      <w:r>
        <w:rPr>
          <w:sz w:val="20"/>
        </w:rPr>
        <w:t xml:space="preserve">, 24 июня 2019 г.), являющимся обязательным для Российской Федерации в соответствии с </w:t>
      </w:r>
      <w:hyperlink w:history="0" r:id="rId1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 мая 2014 г., ратифицированным Федеральным </w:t>
      </w:r>
      <w:hyperlink w:history="0" r:id="rId13"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r>
    </w:p>
    <w:p>
      <w:pPr>
        <w:pStyle w:val="0"/>
        <w:ind w:firstLine="540"/>
        <w:jc w:val="both"/>
      </w:pPr>
      <w:r>
        <w:rPr>
          <w:sz w:val="20"/>
        </w:rPr>
        <w:t xml:space="preserve">1) при измерении длины транспортного средства: устройства очистки и омывания ветрового стекла, таблички переднего и заднего регистрационных знаков и конструктивные элементы для установки государственных регистрационных знаков, таможенная пломбировка и элементы ее защиты, устройства крепления тента и элементы их защиты, устройства освещения и световой сигнализации, наружные зеркала и другие устройства непрямой обзорности, вспомогательные средства наблюдения, устройства забора воздуха во впускную систему двигателя внутреннего сгорания, стопорные устройства для демонтируемых кузовов, подножки и поручни, эластичные буферные устройства или аналогичное оборудование, подъемные платформы, рампы и аналогичное оборудование в положении для движения, не увеличивающие габаритные размеры более чем на 300 мм при условии, что грузоподъемность транспортного средства не увеличена, сцепные и буксирные устройства транспортных средств, трубы выпускной системы, съемные спойлеры, наружные солнцезащитные козырьки;</w:t>
      </w:r>
    </w:p>
    <w:p>
      <w:pPr>
        <w:pStyle w:val="0"/>
        <w:spacing w:before="200" w:line-rule="auto"/>
        <w:ind w:firstLine="540"/>
        <w:jc w:val="both"/>
      </w:pPr>
      <w:r>
        <w:rPr>
          <w:sz w:val="20"/>
        </w:rPr>
        <w:t xml:space="preserve">2) при измерении ширины транспортного средства: таможенная пломбировка и элементы ее защиты, устройства крепления тента и элементы их защиты, устройства контроля давления в шинах, выступающие гибкие части системы защиты от разбрызгивания из-под колес, наружные зеркала и другие устройства непрямой обзорности, вспомогательные средства наблюдения, убирающиеся подножки, устройства освещения и световой сигнализации, деформирующаяся часть боковых стенок шин непосредственно над точкой соприкосновения с поверхностью, навесное оборудование транспортных средств, выполняющих работы при строительстве, реконструкции, капитальном ремонте, ремонте и содержании автомобильных дорог (плужно-щеточное оборудование (плуг, щетка), навесная косилка, манипулятор, рейка навесная для мытья покрытия, мойка шумоизоляционного экрана, ковш навесной, передний и боковой отвалы, шнекороторы, мульчеры, мусоропылесборники);</w:t>
      </w:r>
    </w:p>
    <w:p>
      <w:pPr>
        <w:pStyle w:val="0"/>
        <w:spacing w:before="200" w:line-rule="auto"/>
        <w:ind w:firstLine="540"/>
        <w:jc w:val="both"/>
      </w:pPr>
      <w:r>
        <w:rPr>
          <w:sz w:val="20"/>
        </w:rPr>
        <w:t xml:space="preserve">3) при измерении высоты транспортного средства: антенны.</w:t>
      </w:r>
    </w:p>
    <w:p>
      <w:pPr>
        <w:pStyle w:val="0"/>
        <w:spacing w:before="200" w:line-rule="auto"/>
        <w:ind w:firstLine="540"/>
        <w:jc w:val="both"/>
      </w:pPr>
      <w:r>
        <w:rPr>
          <w:sz w:val="20"/>
        </w:rPr>
        <w:t xml:space="preserve">14. При измерении весогабаритных параметров учитываются метрологические и технические характеристики, указанные в описании типа средств измерений &lt;4&gt;, эксплуатационной документации соответствующего средства измерений и обязательные метрологические требования, указанные в перечне измерений, относящихся к сфере государственного регулирования обеспечения единства измерений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14"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w:t>
        </w:r>
      </w:hyperlink>
      <w:r>
        <w:rPr>
          <w:sz w:val="20"/>
        </w:rPr>
        <w:t xml:space="preserve"> от 26 июня 2008 г. N 102-ФЗ "Об обеспечении единства измерений" (Собрание законодательства Российской Федерации, 2008, N 26, ст. 3021; 2019, N 52, ст. 7814).</w:t>
      </w:r>
    </w:p>
    <w:p>
      <w:pPr>
        <w:pStyle w:val="0"/>
        <w:spacing w:before="200" w:line-rule="auto"/>
        <w:ind w:firstLine="540"/>
        <w:jc w:val="both"/>
      </w:pPr>
      <w:r>
        <w:rPr>
          <w:sz w:val="20"/>
        </w:rPr>
        <w:t xml:space="preserve">&lt;5&gt; </w:t>
      </w:r>
      <w:hyperlink w:history="0" r:id="rId15" w:tooltip="Постановление Правительства РФ от 16.11.2020 N 1847 (ред. от 07.02.2023) &quot;Об утверждении перечня измерений, относящихся к сфере государственного регулирования обеспечения единства измерений&quot; {КонсультантПлюс}">
        <w:r>
          <w:rPr>
            <w:sz w:val="20"/>
            <w:color w:val="0000ff"/>
          </w:rPr>
          <w:t xml:space="preserve">Постановление</w:t>
        </w:r>
      </w:hyperlink>
      <w:r>
        <w:rPr>
          <w:sz w:val="20"/>
        </w:rPr>
        <w:t xml:space="preserve"> Правительства Российской Федерации от 16 ноября 2020 г. N 1847 (Официальный интернет-портал правовой информации </w:t>
      </w:r>
      <w:r>
        <w:rPr>
          <w:sz w:val="20"/>
        </w:rPr>
        <w:t xml:space="preserve">http://www.pravo.gov.ru</w:t>
      </w:r>
      <w:r>
        <w:rPr>
          <w:sz w:val="20"/>
        </w:rPr>
        <w:t xml:space="preserve">, 23 ноября 2020 г.).</w:t>
      </w:r>
    </w:p>
    <w:p>
      <w:pPr>
        <w:pStyle w:val="0"/>
        <w:jc w:val="both"/>
      </w:pPr>
      <w:r>
        <w:rPr>
          <w:sz w:val="20"/>
        </w:rPr>
      </w:r>
    </w:p>
    <w:p>
      <w:pPr>
        <w:pStyle w:val="0"/>
        <w:ind w:firstLine="540"/>
        <w:jc w:val="both"/>
      </w:pPr>
      <w:r>
        <w:rPr>
          <w:sz w:val="20"/>
        </w:rPr>
        <w:t xml:space="preserve">15. При фиксации весогабаритных параметров транспортных средств:</w:t>
      </w:r>
    </w:p>
    <w:p>
      <w:pPr>
        <w:pStyle w:val="0"/>
        <w:spacing w:before="200" w:line-rule="auto"/>
        <w:ind w:firstLine="540"/>
        <w:jc w:val="both"/>
      </w:pPr>
      <w:r>
        <w:rPr>
          <w:sz w:val="20"/>
        </w:rPr>
        <w:t xml:space="preserve">1) отмечаются измеренные весогабаритные параметры транспортного средства;</w:t>
      </w:r>
    </w:p>
    <w:p>
      <w:pPr>
        <w:pStyle w:val="0"/>
        <w:spacing w:before="200" w:line-rule="auto"/>
        <w:ind w:firstLine="540"/>
        <w:jc w:val="both"/>
      </w:pPr>
      <w:r>
        <w:rPr>
          <w:sz w:val="20"/>
        </w:rPr>
        <w:t xml:space="preserve">2) осуществляется вычет инструментальной погрешности измерений (инструментальная погрешность измерений параметра вычитается из измеренной величины параметра, и вычисляется применяемая величина для определения наличия превышения параметра). В качестве значения инструментальной погрешности принимается значение пределов допускаемой погрешности, указанных в описании типа средства измерений, без учета знака;</w:t>
      </w:r>
    </w:p>
    <w:p>
      <w:pPr>
        <w:pStyle w:val="0"/>
        <w:spacing w:before="200" w:line-rule="auto"/>
        <w:ind w:firstLine="540"/>
        <w:jc w:val="both"/>
      </w:pPr>
      <w:r>
        <w:rPr>
          <w:sz w:val="20"/>
        </w:rPr>
        <w:t xml:space="preserve">3) осуществляется сравнение применяемой величины с допустимым параметром, установленным законодательством об автомобильном транспорте и городском наземном электрическом транспорте (или с разрешенным параметром в случае наличия специального разрешения на движение по автомобильным дорогам тяжеловесного и (или) крупногабаритного транспортного средства (далее - ТКТС, специальное разрешение на движение ТКТС)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6"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Статья 31</w:t>
        </w:r>
      </w:hyperlink>
      <w:r>
        <w:rPr>
          <w:sz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16. При измерении межосевого расстояния для определения применяемой величины инструментальная погрешность средства измерений добавляется к измеренной величине межосевого расстояния.</w:t>
      </w:r>
    </w:p>
    <w:p>
      <w:pPr>
        <w:pStyle w:val="0"/>
        <w:spacing w:before="200" w:line-rule="auto"/>
        <w:ind w:firstLine="540"/>
        <w:jc w:val="both"/>
      </w:pPr>
      <w:r>
        <w:rPr>
          <w:sz w:val="20"/>
        </w:rPr>
        <w:t xml:space="preserve">17. Превышение допустимых весогабаритных параметров определяется:</w:t>
      </w:r>
    </w:p>
    <w:p>
      <w:pPr>
        <w:pStyle w:val="0"/>
        <w:spacing w:before="200" w:line-rule="auto"/>
        <w:ind w:firstLine="540"/>
        <w:jc w:val="both"/>
      </w:pPr>
      <w:r>
        <w:rPr>
          <w:sz w:val="20"/>
        </w:rPr>
        <w:t xml:space="preserve">как отношение применяемой величины параметра к допустимой (разрешенной) величине соответствующего параметра - при измерении весовых параметров транспортного средства;</w:t>
      </w:r>
    </w:p>
    <w:p>
      <w:pPr>
        <w:pStyle w:val="0"/>
        <w:spacing w:before="200" w:line-rule="auto"/>
        <w:ind w:firstLine="540"/>
        <w:jc w:val="both"/>
      </w:pPr>
      <w:r>
        <w:rPr>
          <w:sz w:val="20"/>
        </w:rPr>
        <w:t xml:space="preserve">как разница между применяемой и допустимой (разрешенной) величинами параметра - при измерении габаритных параметров транспортного средства.</w:t>
      </w:r>
    </w:p>
    <w:p>
      <w:pPr>
        <w:pStyle w:val="0"/>
        <w:spacing w:before="200" w:line-rule="auto"/>
        <w:ind w:firstLine="540"/>
        <w:jc w:val="both"/>
      </w:pPr>
      <w:r>
        <w:rPr>
          <w:sz w:val="20"/>
        </w:rPr>
        <w:t xml:space="preserve">18. При осуществлении весогабаритного контроля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history="0" w:anchor="P93" w:tooltip="19. При осуществлении весогабаритного контроля допускается неравномерное распределение нагрузки по осям для групп сближенных сдвоенных и строенных осей &lt;7&gt;.">
        <w:r>
          <w:rPr>
            <w:sz w:val="20"/>
            <w:color w:val="0000ff"/>
          </w:rPr>
          <w:t xml:space="preserve">пункте 19</w:t>
        </w:r>
      </w:hyperlink>
      <w:r>
        <w:rPr>
          <w:sz w:val="20"/>
        </w:rPr>
        <w:t xml:space="preserve"> настоящего Порядка.</w:t>
      </w:r>
    </w:p>
    <w:bookmarkStart w:id="93" w:name="P93"/>
    <w:bookmarkEnd w:id="93"/>
    <w:p>
      <w:pPr>
        <w:pStyle w:val="0"/>
        <w:spacing w:before="200" w:line-rule="auto"/>
        <w:ind w:firstLine="540"/>
        <w:jc w:val="both"/>
      </w:pPr>
      <w:r>
        <w:rPr>
          <w:sz w:val="20"/>
        </w:rPr>
        <w:t xml:space="preserve">19. При осуществлении весогабаритного контроля допускается неравномерное распределение нагрузки по осям для групп сближенных сдвоенных и строенных осей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7" w:tooltip="Постановление Правительства РФ от 15.04.2011 N 272 (ред. от 14.08.2020) &quot;Об утверждении Правил перевозок грузов автомобильным транспортом&quot; ------------ Утратил силу или отменен {КонсультантПлюс}">
        <w:r>
          <w:rPr>
            <w:sz w:val="20"/>
            <w:color w:val="0000ff"/>
          </w:rPr>
          <w:t xml:space="preserve">Правила</w:t>
        </w:r>
      </w:hyperlink>
      <w:r>
        <w:rPr>
          <w:sz w:val="20"/>
        </w:rPr>
        <w:t xml:space="preserve"> перевозок грузов автомобильным транспортом, предусмотренные </w:t>
      </w:r>
      <w:hyperlink w:history="0" r:id="rId18" w:tooltip="Федеральный закон от 08.11.2007 N 259-ФЗ (ред. от 24.07.2023) &quot;Устав автомобильного транспорта и городского наземного электрического транспорта&quot; (с изм. и доп., вступ. в силу с 01.09.2023) {КонсультантПлюс}">
        <w:r>
          <w:rPr>
            <w:sz w:val="20"/>
            <w:color w:val="0000ff"/>
          </w:rPr>
          <w:t xml:space="preserve">статьей 3</w:t>
        </w:r>
      </w:hyperlink>
      <w:r>
        <w:rPr>
          <w:sz w:val="20"/>
        </w:rPr>
        <w:t xml:space="preserve"> Федерального закона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2007, N 46, ст. 5555; 2020, N 12, ст. 1651).</w:t>
      </w:r>
    </w:p>
    <w:p>
      <w:pPr>
        <w:pStyle w:val="0"/>
        <w:jc w:val="both"/>
      </w:pPr>
      <w:r>
        <w:rPr>
          <w:sz w:val="20"/>
        </w:rPr>
      </w:r>
    </w:p>
    <w:p>
      <w:pPr>
        <w:pStyle w:val="0"/>
        <w:ind w:firstLine="540"/>
        <w:jc w:val="both"/>
      </w:pPr>
      <w:r>
        <w:rPr>
          <w:sz w:val="20"/>
        </w:rPr>
        <w:t xml:space="preserve">При этом в случае отсутствия превышения допустимой нагрузки на группу осей:</w:t>
      </w:r>
    </w:p>
    <w:p>
      <w:pPr>
        <w:pStyle w:val="0"/>
        <w:spacing w:before="200" w:line-rule="auto"/>
        <w:ind w:firstLine="540"/>
        <w:jc w:val="both"/>
      </w:pPr>
      <w:r>
        <w:rPr>
          <w:sz w:val="20"/>
        </w:rPr>
        <w:t xml:space="preserve">превышение допустимой нагрузки на ось отсутствует, если нагрузка на проверяемую ось не превышает допустимую нагрузку на соответствующую ей (односкатную или двускатную) одиночную ось;</w:t>
      </w:r>
    </w:p>
    <w:p>
      <w:pPr>
        <w:pStyle w:val="0"/>
        <w:spacing w:before="200" w:line-rule="auto"/>
        <w:ind w:firstLine="540"/>
        <w:jc w:val="both"/>
      </w:pPr>
      <w:r>
        <w:rPr>
          <w:sz w:val="20"/>
        </w:rPr>
        <w:t xml:space="preserve">выбор соответствующей (односкатной или двускатной) одиночной оси осуществляется способом прямого сопоставления (если проверяемая ось двускатная, то она сопоставляется с соответствующей двускатной одиночной осью независимо от наличия в группе сближенных осей односкатной оси);</w:t>
      </w:r>
    </w:p>
    <w:p>
      <w:pPr>
        <w:pStyle w:val="0"/>
        <w:spacing w:before="200" w:line-rule="auto"/>
        <w:ind w:firstLine="540"/>
        <w:jc w:val="both"/>
      </w:pPr>
      <w:r>
        <w:rPr>
          <w:sz w:val="20"/>
        </w:rPr>
        <w:t xml:space="preserve">превышение допустимой нагрузки на ось фиксируется, если нагрузка на проверяемую ось превышает допустимую нагрузку на соответствующую (односкатную или двускатную) одиночную ось. При этом процент превышения определяется как соотношение нагрузки на проверяемую ось к допустимой нагрузке, определенной путем деления допустимой нагрузки на группу осей на соответствующее количество осей в группе.</w:t>
      </w:r>
    </w:p>
    <w:p>
      <w:pPr>
        <w:pStyle w:val="0"/>
        <w:spacing w:before="200" w:line-rule="auto"/>
        <w:ind w:firstLine="540"/>
        <w:jc w:val="both"/>
      </w:pPr>
      <w:r>
        <w:rPr>
          <w:sz w:val="20"/>
        </w:rPr>
        <w:t xml:space="preserve">20.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pPr>
        <w:pStyle w:val="0"/>
        <w:spacing w:before="200" w:line-rule="auto"/>
        <w:ind w:firstLine="540"/>
        <w:jc w:val="both"/>
      </w:pPr>
      <w:r>
        <w:rPr>
          <w:sz w:val="20"/>
        </w:rPr>
        <w:t xml:space="preserve">21. Должностным лицом уполномоченного контрольно-надзорного органа осуществляется анализ и сравнение результатов инструментального контроля, оформленного в виде акта результатов измерений весовых и габаритных параметров транспортного средства, на наличие или отсутствие превышений измеренных весогабаритных параметров транспортного средства над допустимыми весогабаритными нормами, установленными законодательством об автомобильном транспорте и городском наземном электрическом транспорте, применительно к конкретному участку автомобильной дороги, на котором осуществлялся инструментальный контроль.</w:t>
      </w:r>
    </w:p>
    <w:bookmarkStart w:id="103" w:name="P103"/>
    <w:bookmarkEnd w:id="103"/>
    <w:p>
      <w:pPr>
        <w:pStyle w:val="0"/>
        <w:spacing w:before="200" w:line-rule="auto"/>
        <w:ind w:firstLine="540"/>
        <w:jc w:val="both"/>
      </w:pPr>
      <w:r>
        <w:rPr>
          <w:sz w:val="20"/>
        </w:rPr>
        <w:t xml:space="preserve">22. По требованию должностного лица уполномоченного контрольно-надзорного органа водитель транспортного средства представляет следующие документы:</w:t>
      </w:r>
    </w:p>
    <w:p>
      <w:pPr>
        <w:pStyle w:val="0"/>
        <w:spacing w:before="200" w:line-rule="auto"/>
        <w:ind w:firstLine="540"/>
        <w:jc w:val="both"/>
      </w:pPr>
      <w:r>
        <w:rPr>
          <w:sz w:val="20"/>
        </w:rPr>
        <w:t xml:space="preserve">1) специальное разрешение на движение ТКТС (при наличии);</w:t>
      </w:r>
    </w:p>
    <w:p>
      <w:pPr>
        <w:pStyle w:val="0"/>
        <w:spacing w:before="200" w:line-rule="auto"/>
        <w:ind w:firstLine="540"/>
        <w:jc w:val="both"/>
      </w:pPr>
      <w:r>
        <w:rPr>
          <w:sz w:val="20"/>
        </w:rPr>
        <w:t xml:space="preserve">2) документы на перевозимый груз;</w:t>
      </w:r>
    </w:p>
    <w:p>
      <w:pPr>
        <w:pStyle w:val="0"/>
        <w:spacing w:before="200" w:line-rule="auto"/>
        <w:ind w:firstLine="540"/>
        <w:jc w:val="both"/>
      </w:pPr>
      <w:r>
        <w:rPr>
          <w:sz w:val="20"/>
        </w:rPr>
        <w:t xml:space="preserve">3) водительское удостоверение;</w:t>
      </w:r>
    </w:p>
    <w:p>
      <w:pPr>
        <w:pStyle w:val="0"/>
        <w:spacing w:before="200" w:line-rule="auto"/>
        <w:ind w:firstLine="540"/>
        <w:jc w:val="both"/>
      </w:pPr>
      <w:r>
        <w:rPr>
          <w:sz w:val="20"/>
        </w:rPr>
        <w:t xml:space="preserve">4) регистрационные документы на транспортное средство.</w:t>
      </w:r>
    </w:p>
    <w:p>
      <w:pPr>
        <w:pStyle w:val="0"/>
        <w:spacing w:before="200" w:line-rule="auto"/>
        <w:ind w:firstLine="540"/>
        <w:jc w:val="both"/>
      </w:pPr>
      <w:r>
        <w:rPr>
          <w:sz w:val="20"/>
        </w:rPr>
        <w:t xml:space="preserve">23. Должностным лицом уполномоченного контрольно-надзорного органа осуществляются документальный и визуальный контроль ТКТС на соответствие:</w:t>
      </w:r>
    </w:p>
    <w:p>
      <w:pPr>
        <w:pStyle w:val="0"/>
        <w:spacing w:before="200" w:line-rule="auto"/>
        <w:ind w:firstLine="540"/>
        <w:jc w:val="both"/>
      </w:pPr>
      <w:r>
        <w:rPr>
          <w:sz w:val="20"/>
        </w:rPr>
        <w:t xml:space="preserve">1) информации, указанной в документах, приведенных в </w:t>
      </w:r>
      <w:hyperlink w:history="0" w:anchor="P103" w:tooltip="22. По требованию должностного лица уполномоченного контрольно-надзорного органа водитель транспортного средства представляет следующие документы:">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2) характеристик груза (делимый/неделимый), перевозимого ТКТС, информации, указанной в документах, приведенных в </w:t>
      </w:r>
      <w:hyperlink w:history="0" w:anchor="P103" w:tooltip="22. По требованию должностного лица уполномоченного контрольно-надзорного органа водитель транспортного средства представляет следующие документы:">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3) условий движения ТКТС </w:t>
      </w:r>
      <w:hyperlink w:history="0" r:id="rId19"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w:t>
        </w:r>
      </w:hyperlink>
      <w:r>
        <w:rPr>
          <w:sz w:val="20"/>
        </w:rPr>
        <w:t xml:space="preserve"> дорожного движения Российской Федерации &lt;8&gt; и указанным в специальном разрешении на движение ТКТС особым условиям движения.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0"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Постановление</w:t>
        </w:r>
      </w:hyperlink>
      <w:r>
        <w:rPr>
          <w:sz w:val="20"/>
        </w:rPr>
        <w:t xml:space="preserve"> Совета Министров - Правительства Российской Федерации от 23 октября 1993 г. N 1090 (Собрание актов Президента Российской Федерации и Правительства Российской Федерации, 1993, N 47, ст. 4531. Собрание законодательства Российской Федерации, 2020, N 14, ст. 2098).</w:t>
      </w:r>
    </w:p>
    <w:p>
      <w:pPr>
        <w:pStyle w:val="0"/>
        <w:jc w:val="both"/>
      </w:pPr>
      <w:r>
        <w:rPr>
          <w:sz w:val="20"/>
        </w:rPr>
      </w:r>
    </w:p>
    <w:p>
      <w:pPr>
        <w:pStyle w:val="0"/>
        <w:ind w:firstLine="540"/>
        <w:jc w:val="both"/>
      </w:pPr>
      <w:r>
        <w:rPr>
          <w:sz w:val="20"/>
        </w:rPr>
        <w:t xml:space="preserve">24. На АПВГК осуществляется фиксация весовых и габаритных параметров с использованием специальных технических средств, работающих в автоматическом режиме и имеющих функции фото- и киносъемки, видеозаписи.</w:t>
      </w:r>
    </w:p>
    <w:p>
      <w:pPr>
        <w:pStyle w:val="0"/>
        <w:spacing w:before="200" w:line-rule="auto"/>
        <w:ind w:firstLine="540"/>
        <w:jc w:val="both"/>
      </w:pPr>
      <w:r>
        <w:rPr>
          <w:sz w:val="20"/>
        </w:rPr>
        <w:t xml:space="preserve">25. АПВГК должен обеспечивать выполнение следующих функций:</w:t>
      </w:r>
    </w:p>
    <w:p>
      <w:pPr>
        <w:pStyle w:val="0"/>
        <w:spacing w:before="200" w:line-rule="auto"/>
        <w:ind w:firstLine="540"/>
        <w:jc w:val="both"/>
      </w:pPr>
      <w:r>
        <w:rPr>
          <w:sz w:val="20"/>
        </w:rPr>
        <w:t xml:space="preserve">1) измерение нагрузки на каждую ось транспортного средства;</w:t>
      </w:r>
    </w:p>
    <w:p>
      <w:pPr>
        <w:pStyle w:val="0"/>
        <w:spacing w:before="200" w:line-rule="auto"/>
        <w:ind w:firstLine="540"/>
        <w:jc w:val="both"/>
      </w:pPr>
      <w:r>
        <w:rPr>
          <w:sz w:val="20"/>
        </w:rPr>
        <w:t xml:space="preserve">2) определение массы транспортного средства;</w:t>
      </w:r>
    </w:p>
    <w:p>
      <w:pPr>
        <w:pStyle w:val="0"/>
        <w:spacing w:before="200" w:line-rule="auto"/>
        <w:ind w:firstLine="540"/>
        <w:jc w:val="both"/>
      </w:pPr>
      <w:r>
        <w:rPr>
          <w:sz w:val="20"/>
        </w:rPr>
        <w:t xml:space="preserve">3) определение количества осей транспортного средства;</w:t>
      </w:r>
    </w:p>
    <w:p>
      <w:pPr>
        <w:pStyle w:val="0"/>
        <w:spacing w:before="200" w:line-rule="auto"/>
        <w:ind w:firstLine="540"/>
        <w:jc w:val="both"/>
      </w:pPr>
      <w:r>
        <w:rPr>
          <w:sz w:val="20"/>
        </w:rPr>
        <w:t xml:space="preserve">4) измерение межосевых расстояний транспортного средства;</w:t>
      </w:r>
    </w:p>
    <w:p>
      <w:pPr>
        <w:pStyle w:val="0"/>
        <w:spacing w:before="200" w:line-rule="auto"/>
        <w:ind w:firstLine="540"/>
        <w:jc w:val="both"/>
      </w:pPr>
      <w:r>
        <w:rPr>
          <w:sz w:val="20"/>
        </w:rPr>
        <w:t xml:space="preserve">5) определение количества колес (скатности) на осях транспортного средства;</w:t>
      </w:r>
    </w:p>
    <w:p>
      <w:pPr>
        <w:pStyle w:val="0"/>
        <w:spacing w:before="200" w:line-rule="auto"/>
        <w:ind w:firstLine="540"/>
        <w:jc w:val="both"/>
      </w:pPr>
      <w:r>
        <w:rPr>
          <w:sz w:val="20"/>
        </w:rPr>
        <w:t xml:space="preserve">6) измерение габаритных параметров транспортного средства;</w:t>
      </w:r>
    </w:p>
    <w:p>
      <w:pPr>
        <w:pStyle w:val="0"/>
        <w:spacing w:before="200" w:line-rule="auto"/>
        <w:ind w:firstLine="540"/>
        <w:jc w:val="both"/>
      </w:pPr>
      <w:r>
        <w:rPr>
          <w:sz w:val="20"/>
        </w:rPr>
        <w:t xml:space="preserve">7) фотофиксация и распознавание государственного регистрационного номера транспортного средства;</w:t>
      </w:r>
    </w:p>
    <w:p>
      <w:pPr>
        <w:pStyle w:val="0"/>
        <w:spacing w:before="200" w:line-rule="auto"/>
        <w:ind w:firstLine="540"/>
        <w:jc w:val="both"/>
      </w:pPr>
      <w:r>
        <w:rPr>
          <w:sz w:val="20"/>
        </w:rPr>
        <w:t xml:space="preserve">8) фотофиксация фронтального изображения транспортного средства;</w:t>
      </w:r>
    </w:p>
    <w:p>
      <w:pPr>
        <w:pStyle w:val="0"/>
        <w:spacing w:before="200" w:line-rule="auto"/>
        <w:ind w:firstLine="540"/>
        <w:jc w:val="both"/>
      </w:pPr>
      <w:r>
        <w:rPr>
          <w:sz w:val="20"/>
        </w:rPr>
        <w:t xml:space="preserve">9) фотофиксация общего вида транспортного средства (вид сбоку) в момент проезда через весоизмерительные датчики (получение обзорной фотографии транспортного средства, на которой отражены его контуры и количество осей);</w:t>
      </w:r>
    </w:p>
    <w:p>
      <w:pPr>
        <w:pStyle w:val="0"/>
        <w:spacing w:before="200" w:line-rule="auto"/>
        <w:ind w:firstLine="540"/>
        <w:jc w:val="both"/>
      </w:pPr>
      <w:r>
        <w:rPr>
          <w:sz w:val="20"/>
        </w:rPr>
        <w:t xml:space="preserve">10) измерение и передача в центр обработки данных владельца автомобильной дороги зафиксированных параметров транспортных средств посредством канала связи, обеспечивающего криптографическую защиту передаваемой информации.</w:t>
      </w:r>
    </w:p>
    <w:p>
      <w:pPr>
        <w:pStyle w:val="0"/>
        <w:jc w:val="both"/>
      </w:pPr>
      <w:r>
        <w:rPr>
          <w:sz w:val="20"/>
        </w:rPr>
      </w:r>
    </w:p>
    <w:p>
      <w:pPr>
        <w:pStyle w:val="2"/>
        <w:outlineLvl w:val="1"/>
        <w:jc w:val="center"/>
      </w:pPr>
      <w:r>
        <w:rPr>
          <w:sz w:val="20"/>
        </w:rPr>
        <w:t xml:space="preserve">III. Оформление результатов весогабаритного контроля</w:t>
      </w:r>
    </w:p>
    <w:p>
      <w:pPr>
        <w:pStyle w:val="2"/>
        <w:jc w:val="center"/>
      </w:pPr>
      <w:r>
        <w:rPr>
          <w:sz w:val="20"/>
        </w:rPr>
        <w:t xml:space="preserve">транспортных средств</w:t>
      </w:r>
    </w:p>
    <w:p>
      <w:pPr>
        <w:pStyle w:val="0"/>
        <w:jc w:val="both"/>
      </w:pPr>
      <w:r>
        <w:rPr>
          <w:sz w:val="20"/>
        </w:rPr>
      </w:r>
    </w:p>
    <w:p>
      <w:pPr>
        <w:pStyle w:val="0"/>
        <w:ind w:firstLine="540"/>
        <w:jc w:val="both"/>
      </w:pPr>
      <w:r>
        <w:rPr>
          <w:sz w:val="20"/>
        </w:rPr>
        <w:t xml:space="preserve">26. По результатам инструментального контроля должностным лицом уполномоченного контрольно-надзорного органа, или владельцем автомобильной дороги, или оператором СПВГК (ППВГК) незамедлительно, но не позднее 3 часов, составляется акт результатов измерений весовых и габаритных параметров транспортного средства.</w:t>
      </w:r>
    </w:p>
    <w:p>
      <w:pPr>
        <w:pStyle w:val="0"/>
        <w:spacing w:before="200" w:line-rule="auto"/>
        <w:ind w:firstLine="540"/>
        <w:jc w:val="both"/>
      </w:pPr>
      <w:r>
        <w:rPr>
          <w:sz w:val="20"/>
        </w:rPr>
        <w:t xml:space="preserve">27. В акте результатов измерений весовых и габаритных параметров транспортного средства указываются:</w:t>
      </w:r>
    </w:p>
    <w:p>
      <w:pPr>
        <w:pStyle w:val="0"/>
        <w:spacing w:before="200" w:line-rule="auto"/>
        <w:ind w:firstLine="540"/>
        <w:jc w:val="both"/>
      </w:pPr>
      <w:r>
        <w:rPr>
          <w:sz w:val="20"/>
        </w:rPr>
        <w:t xml:space="preserve">1) номер, дата, время составления, наименование и адрес собственника пункта весогабаритного контроля, наименование оператора и (или) уполномоченного контрольно-надзорного органа;</w:t>
      </w:r>
    </w:p>
    <w:p>
      <w:pPr>
        <w:pStyle w:val="0"/>
        <w:spacing w:before="200" w:line-rule="auto"/>
        <w:ind w:firstLine="540"/>
        <w:jc w:val="both"/>
      </w:pPr>
      <w:r>
        <w:rPr>
          <w:sz w:val="20"/>
        </w:rPr>
        <w:t xml:space="preserve">2) принадлежность СПВГК или места размещения ППВГК к контролируемой автомобильной дороге (федерального, регионального или межмуниципального, местного значения) или ее участку;</w:t>
      </w:r>
    </w:p>
    <w:p>
      <w:pPr>
        <w:pStyle w:val="0"/>
        <w:spacing w:before="200" w:line-rule="auto"/>
        <w:ind w:firstLine="540"/>
        <w:jc w:val="both"/>
      </w:pPr>
      <w:r>
        <w:rPr>
          <w:sz w:val="20"/>
        </w:rPr>
        <w:t xml:space="preserve">3) адрес (место) дислокации СПВГК или ППВГК, в том числе координаты ГЛОНАСС/GPS (при наличии);</w:t>
      </w:r>
    </w:p>
    <w:p>
      <w:pPr>
        <w:pStyle w:val="0"/>
        <w:spacing w:before="200" w:line-rule="auto"/>
        <w:ind w:firstLine="540"/>
        <w:jc w:val="both"/>
      </w:pPr>
      <w:r>
        <w:rPr>
          <w:sz w:val="20"/>
        </w:rPr>
        <w:t xml:space="preserve">4) наименование, тип и серийный номер средства измерений, год выпуска, регистрационный номер утвержденного типа средства измерений в Федеральном информационном фонде по обеспечению единства измерений, срок действия утвержденного типа средства измерений, номер и срок действия свидетельства о поверке, пределы погрешности средства измерений;</w:t>
      </w:r>
    </w:p>
    <w:p>
      <w:pPr>
        <w:pStyle w:val="0"/>
        <w:spacing w:before="200" w:line-rule="auto"/>
        <w:ind w:firstLine="540"/>
        <w:jc w:val="both"/>
      </w:pPr>
      <w:r>
        <w:rPr>
          <w:sz w:val="20"/>
        </w:rPr>
        <w:t xml:space="preserve">5) марка, модель и государственный регистрационный номер транспортного средства (одиночного транспортного средства, тягача, прицепа, полуприцепа);</w:t>
      </w:r>
    </w:p>
    <w:p>
      <w:pPr>
        <w:pStyle w:val="0"/>
        <w:spacing w:before="200" w:line-rule="auto"/>
        <w:ind w:firstLine="540"/>
        <w:jc w:val="both"/>
      </w:pPr>
      <w:r>
        <w:rPr>
          <w:sz w:val="20"/>
        </w:rPr>
        <w:t xml:space="preserve">6) тип транспортного средства (одиночное транспортное средство или автопоезд);</w:t>
      </w:r>
    </w:p>
    <w:p>
      <w:pPr>
        <w:pStyle w:val="0"/>
        <w:spacing w:before="200" w:line-rule="auto"/>
        <w:ind w:firstLine="540"/>
        <w:jc w:val="both"/>
      </w:pPr>
      <w:r>
        <w:rPr>
          <w:sz w:val="20"/>
        </w:rPr>
        <w:t xml:space="preserve">7) владелец транспортного средства (одиночного транспортного средства, тягача, прицепа (полуприцепа) (наименование, фамилия, имя, отчество (при наличии), адрес, телефон, номер свидетельства о регистрации транспортного средства) и сведения о документе, подтверждающем право владения транспортным средством;</w:t>
      </w:r>
    </w:p>
    <w:p>
      <w:pPr>
        <w:pStyle w:val="0"/>
        <w:spacing w:before="200" w:line-rule="auto"/>
        <w:ind w:firstLine="540"/>
        <w:jc w:val="both"/>
      </w:pPr>
      <w:r>
        <w:rPr>
          <w:sz w:val="20"/>
        </w:rPr>
        <w:t xml:space="preserve">8) должностное лицо, ответственное за перевозку (фамилия, имя, отчество (при наличии), должность, наименование организации, адрес и телефон) (при наличии сведений);</w:t>
      </w:r>
    </w:p>
    <w:p>
      <w:pPr>
        <w:pStyle w:val="0"/>
        <w:spacing w:before="200" w:line-rule="auto"/>
        <w:ind w:firstLine="540"/>
        <w:jc w:val="both"/>
      </w:pPr>
      <w:r>
        <w:rPr>
          <w:sz w:val="20"/>
        </w:rPr>
        <w:t xml:space="preserve">9) водитель транспортного средства (фамилия, имя, отчество (при наличии), серия и номер водительского удостоверения);</w:t>
      </w:r>
    </w:p>
    <w:p>
      <w:pPr>
        <w:pStyle w:val="0"/>
        <w:spacing w:before="200" w:line-rule="auto"/>
        <w:ind w:firstLine="540"/>
        <w:jc w:val="both"/>
      </w:pPr>
      <w:r>
        <w:rPr>
          <w:sz w:val="20"/>
        </w:rPr>
        <w:t xml:space="preserve">10) грузоотправитель (наименование организации, адрес и телефон) (при наличии сведений);</w:t>
      </w:r>
    </w:p>
    <w:p>
      <w:pPr>
        <w:pStyle w:val="0"/>
        <w:spacing w:before="200" w:line-rule="auto"/>
        <w:ind w:firstLine="540"/>
        <w:jc w:val="both"/>
      </w:pPr>
      <w:r>
        <w:rPr>
          <w:sz w:val="20"/>
        </w:rPr>
        <w:t xml:space="preserve">11) организация, осуществившая погрузку груза в транспортное средство (наименование, адрес и телефон) (при наличии сведений);</w:t>
      </w:r>
    </w:p>
    <w:p>
      <w:pPr>
        <w:pStyle w:val="0"/>
        <w:spacing w:before="200" w:line-rule="auto"/>
        <w:ind w:firstLine="540"/>
        <w:jc w:val="both"/>
      </w:pPr>
      <w:r>
        <w:rPr>
          <w:sz w:val="20"/>
        </w:rPr>
        <w:t xml:space="preserve">12) характеристики груза (наименование, делимый/неделимый, масса и габаритные параметры) по транспортным документам;</w:t>
      </w:r>
    </w:p>
    <w:p>
      <w:pPr>
        <w:pStyle w:val="0"/>
        <w:spacing w:before="200" w:line-rule="auto"/>
        <w:ind w:firstLine="540"/>
        <w:jc w:val="both"/>
      </w:pPr>
      <w:r>
        <w:rPr>
          <w:sz w:val="20"/>
        </w:rPr>
        <w:t xml:space="preserve">13) применяемая величина массы транспортного средства или автопоезда (тонна);</w:t>
      </w:r>
    </w:p>
    <w:p>
      <w:pPr>
        <w:pStyle w:val="0"/>
        <w:spacing w:before="200" w:line-rule="auto"/>
        <w:ind w:firstLine="540"/>
        <w:jc w:val="both"/>
      </w:pPr>
      <w:r>
        <w:rPr>
          <w:sz w:val="20"/>
        </w:rPr>
        <w:t xml:space="preserve">14) применяемая величина нагрузки на ось и нагрузки на группу сближенных осей (тонна) с указанием расстояний между осями (метр) и числа колес на осях;</w:t>
      </w:r>
    </w:p>
    <w:p>
      <w:pPr>
        <w:pStyle w:val="0"/>
        <w:spacing w:before="200" w:line-rule="auto"/>
        <w:ind w:firstLine="540"/>
        <w:jc w:val="both"/>
      </w:pPr>
      <w:r>
        <w:rPr>
          <w:sz w:val="20"/>
        </w:rPr>
        <w:t xml:space="preserve">15) применяемая величина длины, ширины и высоты транспортного средства или автопоезда (метр);</w:t>
      </w:r>
    </w:p>
    <w:p>
      <w:pPr>
        <w:pStyle w:val="0"/>
        <w:spacing w:before="200" w:line-rule="auto"/>
        <w:ind w:firstLine="540"/>
        <w:jc w:val="both"/>
      </w:pPr>
      <w:r>
        <w:rPr>
          <w:sz w:val="20"/>
        </w:rPr>
        <w:t xml:space="preserve">16) зафиксированная величина массы, нагрузки на ось и нагрузки на группы сближенных осей транспортного средства или автопоезда (тонна) с указанием расстояний между осями (метр) и числа колес на осях;</w:t>
      </w:r>
    </w:p>
    <w:p>
      <w:pPr>
        <w:pStyle w:val="0"/>
        <w:spacing w:before="200" w:line-rule="auto"/>
        <w:ind w:firstLine="540"/>
        <w:jc w:val="both"/>
      </w:pPr>
      <w:r>
        <w:rPr>
          <w:sz w:val="20"/>
        </w:rPr>
        <w:t xml:space="preserve">17) зафиксированная величина длины, ширины и высоты транспортного средства или автопоезда (метр);</w:t>
      </w:r>
    </w:p>
    <w:p>
      <w:pPr>
        <w:pStyle w:val="0"/>
        <w:spacing w:before="200" w:line-rule="auto"/>
        <w:ind w:firstLine="540"/>
        <w:jc w:val="both"/>
      </w:pPr>
      <w:r>
        <w:rPr>
          <w:sz w:val="20"/>
        </w:rPr>
        <w:t xml:space="preserve">18) зафиксированный вид сопровождения (автомобиль прикрытия, автомобиль Государственной инспекции безопасности дорожного движения Министерства внутренних дел Российской Федерации);</w:t>
      </w:r>
    </w:p>
    <w:p>
      <w:pPr>
        <w:pStyle w:val="0"/>
        <w:spacing w:before="200" w:line-rule="auto"/>
        <w:ind w:firstLine="540"/>
        <w:jc w:val="both"/>
      </w:pPr>
      <w:r>
        <w:rPr>
          <w:sz w:val="20"/>
        </w:rPr>
        <w:t xml:space="preserve">19) зафиксированные особые условия движения;</w:t>
      </w:r>
    </w:p>
    <w:p>
      <w:pPr>
        <w:pStyle w:val="0"/>
        <w:spacing w:before="200" w:line-rule="auto"/>
        <w:ind w:firstLine="540"/>
        <w:jc w:val="both"/>
      </w:pPr>
      <w:r>
        <w:rPr>
          <w:sz w:val="20"/>
        </w:rPr>
        <w:t xml:space="preserve">20) маршрут и направление движения с указанием пройденного расстояния по маршруту движения контролируемой автомобильной дороги (федерального, регионального или межмуниципального, местного значения) или ее участку (километр).</w:t>
      </w:r>
    </w:p>
    <w:p>
      <w:pPr>
        <w:pStyle w:val="0"/>
        <w:spacing w:before="200" w:line-rule="auto"/>
        <w:ind w:firstLine="540"/>
        <w:jc w:val="both"/>
      </w:pPr>
      <w:r>
        <w:rPr>
          <w:sz w:val="20"/>
        </w:rPr>
        <w:t xml:space="preserve">28. В акт результатов измерений весовых и габаритных параметров транспортного средства в отношении допустимых весогабаритных параметров по контролируемой автомобильной дороге или ее участку также вносятся:</w:t>
      </w:r>
    </w:p>
    <w:p>
      <w:pPr>
        <w:pStyle w:val="0"/>
        <w:spacing w:before="200" w:line-rule="auto"/>
        <w:ind w:firstLine="540"/>
        <w:jc w:val="both"/>
      </w:pPr>
      <w:r>
        <w:rPr>
          <w:sz w:val="20"/>
        </w:rPr>
        <w:t xml:space="preserve">1) номер, дата, период действия нормативного правового акта, устанавливающего допустимые нормативы по массе, нагрузке на ось и габаритным параметрам транспортных средств для проезда по контролируемой автомобильной дороге или ее участку, в том числе в период действия временных ограничений движения;</w:t>
      </w:r>
    </w:p>
    <w:p>
      <w:pPr>
        <w:pStyle w:val="0"/>
        <w:spacing w:before="200" w:line-rule="auto"/>
        <w:ind w:firstLine="540"/>
        <w:jc w:val="both"/>
      </w:pPr>
      <w:r>
        <w:rPr>
          <w:sz w:val="20"/>
        </w:rPr>
        <w:t xml:space="preserve">2) наименование владельца автомобильной дороги, значение (федеральная, региональная или межмуниципальная, местная);</w:t>
      </w:r>
    </w:p>
    <w:p>
      <w:pPr>
        <w:pStyle w:val="0"/>
        <w:spacing w:before="200" w:line-rule="auto"/>
        <w:ind w:firstLine="540"/>
        <w:jc w:val="both"/>
      </w:pPr>
      <w:r>
        <w:rPr>
          <w:sz w:val="20"/>
        </w:rPr>
        <w:t xml:space="preserve">3) идентификационный и учетный номер автомобильной дороги или ее участка, ее наименование и протяженность с указанием километровых отметок;</w:t>
      </w:r>
    </w:p>
    <w:p>
      <w:pPr>
        <w:pStyle w:val="0"/>
        <w:spacing w:before="200" w:line-rule="auto"/>
        <w:ind w:firstLine="540"/>
        <w:jc w:val="both"/>
      </w:pPr>
      <w:r>
        <w:rPr>
          <w:sz w:val="20"/>
        </w:rPr>
        <w:t xml:space="preserve">4) допустимая масса транспортного средства или автопоезда (тонна), разрешенная для движения по автомобильной дороге или ее участку без специального разрешения на движение ТКТС;</w:t>
      </w:r>
    </w:p>
    <w:p>
      <w:pPr>
        <w:pStyle w:val="0"/>
        <w:spacing w:before="200" w:line-rule="auto"/>
        <w:ind w:firstLine="540"/>
        <w:jc w:val="both"/>
      </w:pPr>
      <w:r>
        <w:rPr>
          <w:sz w:val="20"/>
        </w:rPr>
        <w:t xml:space="preserve">5) допустимая нагрузка на ось и нагрузка на группы сближенных осей (тонна) в зависимости от установленных расстояний между осями (метр), числа колес на осях (скатности) и наличия пневматической или эквивалентной ей подвески, разрешенные для движения по автомобильной дороге или ее участку без специального разрешения на движение ТКТС;</w:t>
      </w:r>
    </w:p>
    <w:p>
      <w:pPr>
        <w:pStyle w:val="0"/>
        <w:spacing w:before="200" w:line-rule="auto"/>
        <w:ind w:firstLine="540"/>
        <w:jc w:val="both"/>
      </w:pPr>
      <w:r>
        <w:rPr>
          <w:sz w:val="20"/>
        </w:rPr>
        <w:t xml:space="preserve">6) допустимая длина, ширина и высота транспортного средства или автопоезда (метр), в том числе длина прицепа в составе автопоезда, разрешенные для движения по автомобильной дороге или ее участку без специального разрешения на движение ТКТС.</w:t>
      </w:r>
    </w:p>
    <w:p>
      <w:pPr>
        <w:pStyle w:val="0"/>
        <w:spacing w:before="200" w:line-rule="auto"/>
        <w:ind w:firstLine="540"/>
        <w:jc w:val="both"/>
      </w:pPr>
      <w:r>
        <w:rPr>
          <w:sz w:val="20"/>
        </w:rPr>
        <w:t xml:space="preserve">29. В акт результатов измерений весовых и габаритных параметров транспортного средства в отношении весогабаритных параметров, характеристик транспортного средства и условий движения, указанных в специальном разрешении на движение ТКТС, вносятся:</w:t>
      </w:r>
    </w:p>
    <w:p>
      <w:pPr>
        <w:pStyle w:val="0"/>
        <w:spacing w:before="200" w:line-rule="auto"/>
        <w:ind w:firstLine="540"/>
        <w:jc w:val="both"/>
      </w:pPr>
      <w:r>
        <w:rPr>
          <w:sz w:val="20"/>
        </w:rPr>
        <w:t xml:space="preserve">1) номер специального разрешения на движение ТКТС, дата выдачи и срок его действия;</w:t>
      </w:r>
    </w:p>
    <w:p>
      <w:pPr>
        <w:pStyle w:val="0"/>
        <w:spacing w:before="200" w:line-rule="auto"/>
        <w:ind w:firstLine="540"/>
        <w:jc w:val="both"/>
      </w:pPr>
      <w:r>
        <w:rPr>
          <w:sz w:val="20"/>
        </w:rPr>
        <w:t xml:space="preserve">2) наименование уполномоченного органа (организации), выдавшего специальное разрешение на движение ТКТС;</w:t>
      </w:r>
    </w:p>
    <w:p>
      <w:pPr>
        <w:pStyle w:val="0"/>
        <w:spacing w:before="200" w:line-rule="auto"/>
        <w:ind w:firstLine="540"/>
        <w:jc w:val="both"/>
      </w:pPr>
      <w:r>
        <w:rPr>
          <w:sz w:val="20"/>
        </w:rPr>
        <w:t xml:space="preserve">3) разрешенный маршрут и направление движения по контролируемой автомобильной дороге или ее участку с указанием названия и учетного номера автомобильной дороги, километровых отметок начала, окончания и расстояния разрешенного маршрута движения по контролируемой автомобильной дороге или ее участку;</w:t>
      </w:r>
    </w:p>
    <w:p>
      <w:pPr>
        <w:pStyle w:val="0"/>
        <w:spacing w:before="200" w:line-rule="auto"/>
        <w:ind w:firstLine="540"/>
        <w:jc w:val="both"/>
      </w:pPr>
      <w:r>
        <w:rPr>
          <w:sz w:val="20"/>
        </w:rPr>
        <w:t xml:space="preserve">4) количество разрешенных и использованных поездок в установленном направлении по разрешенному маршруту движения по контролируемой автомобильной дороге или ее участку в случае указания количества поездок в специальном разрешении на движение ТКТС;</w:t>
      </w:r>
    </w:p>
    <w:p>
      <w:pPr>
        <w:pStyle w:val="0"/>
        <w:spacing w:before="200" w:line-rule="auto"/>
        <w:ind w:firstLine="540"/>
        <w:jc w:val="both"/>
      </w:pPr>
      <w:r>
        <w:rPr>
          <w:sz w:val="20"/>
        </w:rPr>
        <w:t xml:space="preserve">5) марка, модель и государственный регистрационный номер транспортного средства (одиночного транспортного средства, тягача, прицепа, полуприцепа);</w:t>
      </w:r>
    </w:p>
    <w:p>
      <w:pPr>
        <w:pStyle w:val="0"/>
        <w:spacing w:before="200" w:line-rule="auto"/>
        <w:ind w:firstLine="540"/>
        <w:jc w:val="both"/>
      </w:pPr>
      <w:r>
        <w:rPr>
          <w:sz w:val="20"/>
        </w:rPr>
        <w:t xml:space="preserve">6) владелец транспортного средства (одиночного транспортного средства, тягача, прицепа, полуприцепа) (наименование, фамилия, имя, отчество (при наличии), адрес и телефон);</w:t>
      </w:r>
    </w:p>
    <w:p>
      <w:pPr>
        <w:pStyle w:val="0"/>
        <w:spacing w:before="200" w:line-rule="auto"/>
        <w:ind w:firstLine="540"/>
        <w:jc w:val="both"/>
      </w:pPr>
      <w:r>
        <w:rPr>
          <w:sz w:val="20"/>
        </w:rPr>
        <w:t xml:space="preserve">7) разрешенные характеристики груза (наименование, делимый или неделимый, масса и габаритные параметры);</w:t>
      </w:r>
    </w:p>
    <w:p>
      <w:pPr>
        <w:pStyle w:val="0"/>
        <w:spacing w:before="200" w:line-rule="auto"/>
        <w:ind w:firstLine="540"/>
        <w:jc w:val="both"/>
      </w:pPr>
      <w:r>
        <w:rPr>
          <w:sz w:val="20"/>
        </w:rPr>
        <w:t xml:space="preserve">8) масса транспортного средства без груза (одиночного транспортного средства или автопоезда) в соответствии с документами на транспортное средство (тонна);</w:t>
      </w:r>
    </w:p>
    <w:p>
      <w:pPr>
        <w:pStyle w:val="0"/>
        <w:spacing w:before="200" w:line-rule="auto"/>
        <w:ind w:firstLine="540"/>
        <w:jc w:val="both"/>
      </w:pPr>
      <w:r>
        <w:rPr>
          <w:sz w:val="20"/>
        </w:rPr>
        <w:t xml:space="preserve">9) разрешенная масса транспортного средства или автопоезда (тонна);</w:t>
      </w:r>
    </w:p>
    <w:p>
      <w:pPr>
        <w:pStyle w:val="0"/>
        <w:spacing w:before="200" w:line-rule="auto"/>
        <w:ind w:firstLine="540"/>
        <w:jc w:val="both"/>
      </w:pPr>
      <w:r>
        <w:rPr>
          <w:sz w:val="20"/>
        </w:rPr>
        <w:t xml:space="preserve">10) разрешенная нагрузка на ось и нагрузка на группы сближенных осей (тонна) с указанием заявленных расстояний между осями (метр), числа колес на осях (скатности);</w:t>
      </w:r>
    </w:p>
    <w:p>
      <w:pPr>
        <w:pStyle w:val="0"/>
        <w:spacing w:before="200" w:line-rule="auto"/>
        <w:ind w:firstLine="540"/>
        <w:jc w:val="both"/>
      </w:pPr>
      <w:r>
        <w:rPr>
          <w:sz w:val="20"/>
        </w:rPr>
        <w:t xml:space="preserve">11) разрешенная длина, ширина и высота транспортного средства (метр);</w:t>
      </w:r>
    </w:p>
    <w:p>
      <w:pPr>
        <w:pStyle w:val="0"/>
        <w:spacing w:before="200" w:line-rule="auto"/>
        <w:ind w:firstLine="540"/>
        <w:jc w:val="both"/>
      </w:pPr>
      <w:r>
        <w:rPr>
          <w:sz w:val="20"/>
        </w:rPr>
        <w:t xml:space="preserve">12) вид сопровождения (автомобиль Государственной инспекции безопасности дорожного движения Министерства внутренних дел Российской Федерации, автомобиль прикрытия);</w:t>
      </w:r>
    </w:p>
    <w:p>
      <w:pPr>
        <w:pStyle w:val="0"/>
        <w:spacing w:before="200" w:line-rule="auto"/>
        <w:ind w:firstLine="540"/>
        <w:jc w:val="both"/>
      </w:pPr>
      <w:r>
        <w:rPr>
          <w:sz w:val="20"/>
        </w:rPr>
        <w:t xml:space="preserve">13) особые условия, установленные специальным разрешением на движение ТКТС.</w:t>
      </w:r>
    </w:p>
    <w:p>
      <w:pPr>
        <w:pStyle w:val="0"/>
        <w:spacing w:before="200" w:line-rule="auto"/>
        <w:ind w:firstLine="540"/>
        <w:jc w:val="both"/>
      </w:pPr>
      <w:r>
        <w:rPr>
          <w:sz w:val="20"/>
        </w:rPr>
        <w:t xml:space="preserve">30. Акт результатов измерений весовых и габаритных параметров транспортного средства с указанными в нем сравнениями весогабаритных параметров, а также результатами выполнения иных установленных и разрешенных условий движения ТКТС составляется в трех экземплярах, подписывается лицом, составившим его, водителем транспортного средства и передается:</w:t>
      </w:r>
    </w:p>
    <w:p>
      <w:pPr>
        <w:pStyle w:val="0"/>
        <w:spacing w:before="200" w:line-rule="auto"/>
        <w:ind w:firstLine="540"/>
        <w:jc w:val="both"/>
      </w:pPr>
      <w:r>
        <w:rPr>
          <w:sz w:val="20"/>
        </w:rPr>
        <w:t xml:space="preserve">1) должностному лицу уполномоченного контрольно-надзорного органа (в случае составления акта владельцем автомобильной дороги или оператором СПВГК (ППВГК));</w:t>
      </w:r>
    </w:p>
    <w:p>
      <w:pPr>
        <w:pStyle w:val="0"/>
        <w:spacing w:before="200" w:line-rule="auto"/>
        <w:ind w:firstLine="540"/>
        <w:jc w:val="both"/>
      </w:pPr>
      <w:r>
        <w:rPr>
          <w:sz w:val="20"/>
        </w:rPr>
        <w:t xml:space="preserve">2) владельцу автомобильной дороги, на которой проводился контроль;</w:t>
      </w:r>
    </w:p>
    <w:p>
      <w:pPr>
        <w:pStyle w:val="0"/>
        <w:spacing w:before="200" w:line-rule="auto"/>
        <w:ind w:firstLine="540"/>
        <w:jc w:val="both"/>
      </w:pPr>
      <w:r>
        <w:rPr>
          <w:sz w:val="20"/>
        </w:rPr>
        <w:t xml:space="preserve">3) водителю транспортного средства.</w:t>
      </w:r>
    </w:p>
    <w:p>
      <w:pPr>
        <w:pStyle w:val="0"/>
        <w:spacing w:before="200" w:line-rule="auto"/>
        <w:ind w:firstLine="540"/>
        <w:jc w:val="both"/>
      </w:pPr>
      <w:r>
        <w:rPr>
          <w:sz w:val="20"/>
        </w:rPr>
        <w:t xml:space="preserve">31. В случае отказа водителя транспортного средства от подписания акта результатов измерений весовых и габаритных параметров транспортного средства в указанный акт вносится соответствующая запись.</w:t>
      </w:r>
    </w:p>
    <w:p>
      <w:pPr>
        <w:pStyle w:val="0"/>
        <w:spacing w:before="200" w:line-rule="auto"/>
        <w:ind w:firstLine="540"/>
        <w:jc w:val="both"/>
      </w:pPr>
      <w:r>
        <w:rPr>
          <w:sz w:val="20"/>
        </w:rPr>
        <w:t xml:space="preserve">32. К акту результатов измерений весовых и габаритных параметров транспортного средства прилагаются копии документов, указанных в </w:t>
      </w:r>
      <w:hyperlink w:history="0" w:anchor="P103" w:tooltip="22. По требованию должностного лица уполномоченного контрольно-надзорного органа водитель транспортного средства представляет следующие документы:">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33. Акт результатов измерений весовых и габаритных параметров транспортного средства с использованием АПВГК формируется владельцем автомобильной дороги или оператором АПВГК, подписывается усиленной квалифицированной электронной подписью и содержит следующую информацию:</w:t>
      </w:r>
    </w:p>
    <w:p>
      <w:pPr>
        <w:pStyle w:val="0"/>
        <w:spacing w:before="200" w:line-rule="auto"/>
        <w:ind w:firstLine="540"/>
        <w:jc w:val="both"/>
      </w:pPr>
      <w:r>
        <w:rPr>
          <w:sz w:val="20"/>
        </w:rPr>
        <w:t xml:space="preserve">1) об измерительном оборудовании: наименование, код, тип оборудования, серийный номер, владелец оборудования, регистрационный номер утвержденного типа средства измерений в Федеральном информационном фонде по обеспечению единства измерений, срок действия утвержденного типа средства измерений, свидетельство о поверке средства измерений (номер, дата, срок действия поверки), пределы погрешности средства измерений;</w:t>
      </w:r>
    </w:p>
    <w:p>
      <w:pPr>
        <w:pStyle w:val="0"/>
        <w:spacing w:before="200" w:line-rule="auto"/>
        <w:ind w:firstLine="540"/>
        <w:jc w:val="both"/>
      </w:pPr>
      <w:r>
        <w:rPr>
          <w:sz w:val="20"/>
        </w:rPr>
        <w:t xml:space="preserve">2) о месте расположения АПВГК (километр + метр, географические координаты);</w:t>
      </w:r>
    </w:p>
    <w:p>
      <w:pPr>
        <w:pStyle w:val="0"/>
        <w:spacing w:before="200" w:line-rule="auto"/>
        <w:ind w:firstLine="540"/>
        <w:jc w:val="both"/>
      </w:pPr>
      <w:r>
        <w:rPr>
          <w:sz w:val="20"/>
        </w:rPr>
        <w:t xml:space="preserve">3) о наименовании автомобильной дороги;</w:t>
      </w:r>
    </w:p>
    <w:p>
      <w:pPr>
        <w:pStyle w:val="0"/>
        <w:spacing w:before="200" w:line-rule="auto"/>
        <w:ind w:firstLine="540"/>
        <w:jc w:val="both"/>
      </w:pPr>
      <w:r>
        <w:rPr>
          <w:sz w:val="20"/>
        </w:rPr>
        <w:t xml:space="preserve">4) о нарушении: дата и время нарушения, значение автомобильной дороги (федеральная, региональная или межмуниципальная, местная), направление движения, максимальная разрешенная нагрузка на ось в зоне фиксации, государственный регистрационный номер транспортного средства, тип транспортного средства (одиночное транспортное средство или автопоезд), количество осей транспортного средства, превышение нагрузки на ось, превышение массы, превышение по ширине, превышение по высоте, превышение по длине, параметры осей транспортного средства (номер оси, фактическая нагрузка на ось, фактическая нагрузка на группы сближенных осей, нормативная нагрузка на ось при фактическом межосевом расстоянии, разрешенная нагрузка на ось, превышение (если установлено, %, тонна), фактическое межосевое расстояние, фактическая скатность (количество колес) оси), параметры массы транспортного средства (фактическая, нормативная, разрешенная, превышение (если установлено, %, тонна)), параметры ширины транспортного средства (фактическая, нормативная, разрешенная, превышение (если установлено, метр)), параметры высоты транспортного средства (фактическая, нормативная, разрешенная, превышение (если установлено, метр)), параметры длины транспортного средства (фактическая, нормативная, разрешенная, превышение (если установлено, метр));</w:t>
      </w:r>
    </w:p>
    <w:p>
      <w:pPr>
        <w:pStyle w:val="0"/>
        <w:spacing w:before="200" w:line-rule="auto"/>
        <w:ind w:firstLine="540"/>
        <w:jc w:val="both"/>
      </w:pPr>
      <w:r>
        <w:rPr>
          <w:sz w:val="20"/>
        </w:rPr>
        <w:t xml:space="preserve">5) о специальном разрешении на движение ТКТС: номер, дата выдачи, срок действия, разрешенный маршрут и направление движения, разрешенная масса, нагрузки на оси (с указанием заявленных расстояний между осями и числа колес на осях), габаритные параметры;</w:t>
      </w:r>
    </w:p>
    <w:p>
      <w:pPr>
        <w:pStyle w:val="0"/>
        <w:spacing w:before="200" w:line-rule="auto"/>
        <w:ind w:firstLine="540"/>
        <w:jc w:val="both"/>
      </w:pPr>
      <w:r>
        <w:rPr>
          <w:sz w:val="20"/>
        </w:rPr>
        <w:t xml:space="preserve">6) об отклонении от указанного в специальном разрешении на движение ТКТС маршрута движения;</w:t>
      </w:r>
    </w:p>
    <w:p>
      <w:pPr>
        <w:pStyle w:val="0"/>
        <w:spacing w:before="200" w:line-rule="auto"/>
        <w:ind w:firstLine="540"/>
        <w:jc w:val="both"/>
      </w:pPr>
      <w:r>
        <w:rPr>
          <w:sz w:val="20"/>
        </w:rPr>
        <w:t xml:space="preserve">7) о фотографии транспортного средства: фронтальная с читаемым государственным регистрационным номером, фотография регистрационного номера транспортного средства, обзорная.</w:t>
      </w:r>
    </w:p>
    <w:p>
      <w:pPr>
        <w:pStyle w:val="0"/>
        <w:spacing w:before="200" w:line-rule="auto"/>
        <w:ind w:firstLine="540"/>
        <w:jc w:val="both"/>
      </w:pPr>
      <w:r>
        <w:rPr>
          <w:sz w:val="20"/>
        </w:rPr>
        <w:t xml:space="preserve">34. Информация от владельца автомобильной дороги или оператора АПВГК, включая материалы, полученные с АПВГК, в том числе акт результатов измерений весовых и габаритных параметров транспортного средства с использованием АПВГК, передается в уполномоченный контрольно-надзорный орган посредством канала связи, обеспечивающего криптографическую защиту передаваемой информации.</w:t>
      </w:r>
    </w:p>
    <w:p>
      <w:pPr>
        <w:pStyle w:val="0"/>
        <w:jc w:val="both"/>
      </w:pPr>
      <w:r>
        <w:rPr>
          <w:sz w:val="20"/>
        </w:rPr>
      </w:r>
    </w:p>
    <w:bookmarkStart w:id="190" w:name="P190"/>
    <w:bookmarkEnd w:id="190"/>
    <w:p>
      <w:pPr>
        <w:pStyle w:val="2"/>
        <w:outlineLvl w:val="1"/>
        <w:jc w:val="center"/>
      </w:pPr>
      <w:r>
        <w:rPr>
          <w:sz w:val="20"/>
        </w:rPr>
        <w:t xml:space="preserve">IV. Организация пунктов весогабаритного контроля</w:t>
      </w:r>
    </w:p>
    <w:p>
      <w:pPr>
        <w:pStyle w:val="2"/>
        <w:jc w:val="center"/>
      </w:pPr>
      <w:r>
        <w:rPr>
          <w:sz w:val="20"/>
        </w:rPr>
        <w:t xml:space="preserve">транспортных средств</w:t>
      </w:r>
    </w:p>
    <w:p>
      <w:pPr>
        <w:pStyle w:val="0"/>
        <w:jc w:val="both"/>
      </w:pPr>
      <w:r>
        <w:rPr>
          <w:sz w:val="20"/>
        </w:rPr>
      </w:r>
    </w:p>
    <w:p>
      <w:pPr>
        <w:pStyle w:val="0"/>
        <w:ind w:firstLine="540"/>
        <w:jc w:val="both"/>
      </w:pPr>
      <w:r>
        <w:rPr>
          <w:sz w:val="20"/>
        </w:rPr>
        <w:t xml:space="preserve">35. СПВГК должен включать:</w:t>
      </w:r>
    </w:p>
    <w:p>
      <w:pPr>
        <w:pStyle w:val="0"/>
        <w:spacing w:before="200" w:line-rule="auto"/>
        <w:ind w:firstLine="540"/>
        <w:jc w:val="both"/>
      </w:pPr>
      <w:r>
        <w:rPr>
          <w:sz w:val="20"/>
        </w:rPr>
        <w:t xml:space="preserve">площадку для размещения весового оборудования вне проезжей части автомобильной дороги, измерения габаритных параметров транспортных средств, соответствующую требованиям, приведенным в эксплуатационной документации и в описании типа средств измерений, используемых на СПВГК, а также стоянку для размещения задержанных транспортных средств до устранения причин задержания;</w:t>
      </w:r>
    </w:p>
    <w:p>
      <w:pPr>
        <w:pStyle w:val="0"/>
        <w:spacing w:before="200" w:line-rule="auto"/>
        <w:ind w:firstLine="540"/>
        <w:jc w:val="both"/>
      </w:pPr>
      <w:r>
        <w:rPr>
          <w:sz w:val="20"/>
        </w:rPr>
        <w:t xml:space="preserve">весовое оборудование для взвешивания транспортных средств и измерительные приборы для контроля габаритных параметров транспортных средств;</w:t>
      </w:r>
    </w:p>
    <w:p>
      <w:pPr>
        <w:pStyle w:val="0"/>
        <w:spacing w:before="200" w:line-rule="auto"/>
        <w:ind w:firstLine="540"/>
        <w:jc w:val="both"/>
      </w:pPr>
      <w:r>
        <w:rPr>
          <w:sz w:val="20"/>
        </w:rPr>
        <w:t xml:space="preserve">переходно-скоростную полосу;</w:t>
      </w:r>
    </w:p>
    <w:p>
      <w:pPr>
        <w:pStyle w:val="0"/>
        <w:spacing w:before="200" w:line-rule="auto"/>
        <w:ind w:firstLine="540"/>
        <w:jc w:val="both"/>
      </w:pPr>
      <w:r>
        <w:rPr>
          <w:sz w:val="20"/>
        </w:rPr>
        <w:t xml:space="preserve">систему видеоконтроля площадки для размещения весового оборудования вне проезжей части автомобильной дороги, измерения габаритных параметров транспортных средств;</w:t>
      </w:r>
    </w:p>
    <w:p>
      <w:pPr>
        <w:pStyle w:val="0"/>
        <w:spacing w:before="200" w:line-rule="auto"/>
        <w:ind w:firstLine="540"/>
        <w:jc w:val="both"/>
      </w:pPr>
      <w:r>
        <w:rPr>
          <w:sz w:val="20"/>
        </w:rPr>
        <w:t xml:space="preserve">наружное освещение территории, на которой расположен СПВГК, в том числе на протяжении длины переходно-скоростных полос, включая отгоны;</w:t>
      </w:r>
    </w:p>
    <w:p>
      <w:pPr>
        <w:pStyle w:val="0"/>
        <w:spacing w:before="200" w:line-rule="auto"/>
        <w:ind w:firstLine="540"/>
        <w:jc w:val="both"/>
      </w:pPr>
      <w:r>
        <w:rPr>
          <w:sz w:val="20"/>
        </w:rPr>
        <w:t xml:space="preserve">блокирующие устройства для задержанных транспортных средств;</w:t>
      </w:r>
    </w:p>
    <w:p>
      <w:pPr>
        <w:pStyle w:val="0"/>
        <w:spacing w:before="200" w:line-rule="auto"/>
        <w:ind w:firstLine="540"/>
        <w:jc w:val="both"/>
      </w:pPr>
      <w:r>
        <w:rPr>
          <w:sz w:val="20"/>
        </w:rPr>
        <w:t xml:space="preserve">помещение, предназначенное для работы персонала в круглосуточном режиме и оснащенное:</w:t>
      </w:r>
    </w:p>
    <w:p>
      <w:pPr>
        <w:pStyle w:val="0"/>
        <w:spacing w:before="200" w:line-rule="auto"/>
        <w:ind w:firstLine="540"/>
        <w:jc w:val="both"/>
      </w:pPr>
      <w:r>
        <w:rPr>
          <w:sz w:val="20"/>
        </w:rPr>
        <w:t xml:space="preserve">системой жизнеобеспечения;</w:t>
      </w:r>
    </w:p>
    <w:p>
      <w:pPr>
        <w:pStyle w:val="0"/>
        <w:spacing w:before="200" w:line-rule="auto"/>
        <w:ind w:firstLine="540"/>
        <w:jc w:val="both"/>
      </w:pPr>
      <w:r>
        <w:rPr>
          <w:sz w:val="20"/>
        </w:rPr>
        <w:t xml:space="preserve">средствами связи, в том числе с доступом к информационно-телекоммуникационной сети "Интернет";</w:t>
      </w:r>
    </w:p>
    <w:p>
      <w:pPr>
        <w:pStyle w:val="0"/>
        <w:spacing w:before="200" w:line-rule="auto"/>
        <w:ind w:firstLine="540"/>
        <w:jc w:val="both"/>
      </w:pPr>
      <w:r>
        <w:rPr>
          <w:sz w:val="20"/>
        </w:rPr>
        <w:t xml:space="preserve">средствами вычислительной техники, необходимыми для осуществления весогабаритного контроля;</w:t>
      </w:r>
    </w:p>
    <w:p>
      <w:pPr>
        <w:pStyle w:val="0"/>
        <w:spacing w:before="200" w:line-rule="auto"/>
        <w:ind w:firstLine="540"/>
        <w:jc w:val="both"/>
      </w:pPr>
      <w:r>
        <w:rPr>
          <w:sz w:val="20"/>
        </w:rPr>
        <w:t xml:space="preserve">техническими средствами для копирования и сканирования документов;</w:t>
      </w:r>
    </w:p>
    <w:p>
      <w:pPr>
        <w:pStyle w:val="0"/>
        <w:spacing w:before="200" w:line-rule="auto"/>
        <w:ind w:firstLine="540"/>
        <w:jc w:val="both"/>
      </w:pPr>
      <w:r>
        <w:rPr>
          <w:sz w:val="20"/>
        </w:rPr>
        <w:t xml:space="preserve">сейфом или металлическим шкафом для хранения документации;</w:t>
      </w:r>
    </w:p>
    <w:p>
      <w:pPr>
        <w:pStyle w:val="0"/>
        <w:spacing w:before="200" w:line-rule="auto"/>
        <w:ind w:firstLine="540"/>
        <w:jc w:val="both"/>
      </w:pPr>
      <w:r>
        <w:rPr>
          <w:sz w:val="20"/>
        </w:rPr>
        <w:t xml:space="preserve">необходимой эксплуатационной документацией на средства измерений, входящие в состав СПВГК.</w:t>
      </w:r>
    </w:p>
    <w:p>
      <w:pPr>
        <w:pStyle w:val="0"/>
        <w:spacing w:before="200" w:line-rule="auto"/>
        <w:ind w:firstLine="540"/>
        <w:jc w:val="both"/>
      </w:pPr>
      <w:r>
        <w:rPr>
          <w:sz w:val="20"/>
        </w:rPr>
        <w:t xml:space="preserve">В случае наличия в составе СПВГК работающих в автоматическом режиме специальных технических средств, имеющих функции фото- и киносъемки, видеозаписи для фиксации весогабаритных параметров транспортных средств, к таким техническим средствам предъявляются требования, аналогичные требованиям, предъявляемым к АПВГК, указанных в </w:t>
      </w:r>
      <w:hyperlink w:history="0" w:anchor="P219" w:tooltip="38. АПВГК должен включать:">
        <w:r>
          <w:rPr>
            <w:sz w:val="20"/>
            <w:color w:val="0000ff"/>
          </w:rPr>
          <w:t xml:space="preserve">пункте 38</w:t>
        </w:r>
      </w:hyperlink>
      <w:r>
        <w:rPr>
          <w:sz w:val="20"/>
        </w:rPr>
        <w:t xml:space="preserve"> настоящего Порядка.</w:t>
      </w:r>
    </w:p>
    <w:p>
      <w:pPr>
        <w:pStyle w:val="0"/>
        <w:spacing w:before="200" w:line-rule="auto"/>
        <w:ind w:firstLine="540"/>
        <w:jc w:val="both"/>
      </w:pPr>
      <w:r>
        <w:rPr>
          <w:sz w:val="20"/>
        </w:rPr>
        <w:t xml:space="preserve">36. ППВГК должны размещаться на площадках, расположенных в полосе отвода и (или) придорожных полосах автомобильных дорог, на участках автомобильных дорог, на которых обеспечивается безопасность дорожного движения, включая стоянки (парковки), площадки отдыха. Параметры и тип покрытия площадки, размеры и уклоны должны соответствовать требованиям, приведенным в эксплуатационной документации и в описании типа средств измерений, используемых на ППВГК.</w:t>
      </w:r>
    </w:p>
    <w:p>
      <w:pPr>
        <w:pStyle w:val="0"/>
        <w:spacing w:before="200" w:line-rule="auto"/>
        <w:ind w:firstLine="540"/>
        <w:jc w:val="both"/>
      </w:pPr>
      <w:r>
        <w:rPr>
          <w:sz w:val="20"/>
        </w:rPr>
        <w:t xml:space="preserve">37. ППВГК должен включать:</w:t>
      </w:r>
    </w:p>
    <w:p>
      <w:pPr>
        <w:pStyle w:val="0"/>
        <w:spacing w:before="200" w:line-rule="auto"/>
        <w:ind w:firstLine="540"/>
        <w:jc w:val="both"/>
      </w:pPr>
      <w:r>
        <w:rPr>
          <w:sz w:val="20"/>
        </w:rPr>
        <w:t xml:space="preserve">переносное весовое оборудование;</w:t>
      </w:r>
    </w:p>
    <w:p>
      <w:pPr>
        <w:pStyle w:val="0"/>
        <w:spacing w:before="200" w:line-rule="auto"/>
        <w:ind w:firstLine="540"/>
        <w:jc w:val="both"/>
      </w:pPr>
      <w:r>
        <w:rPr>
          <w:sz w:val="20"/>
        </w:rPr>
        <w:t xml:space="preserve">измерительные приборы для контроля габаритных параметров транспортных средств;</w:t>
      </w:r>
    </w:p>
    <w:p>
      <w:pPr>
        <w:pStyle w:val="0"/>
        <w:spacing w:before="200" w:line-rule="auto"/>
        <w:ind w:firstLine="540"/>
        <w:jc w:val="both"/>
      </w:pPr>
      <w:r>
        <w:rPr>
          <w:sz w:val="20"/>
        </w:rPr>
        <w:t xml:space="preserve">средства вычислительной техники, необходимые для осуществления весогабаритного контроля;</w:t>
      </w:r>
    </w:p>
    <w:p>
      <w:pPr>
        <w:pStyle w:val="0"/>
        <w:spacing w:before="200" w:line-rule="auto"/>
        <w:ind w:firstLine="540"/>
        <w:jc w:val="both"/>
      </w:pPr>
      <w:r>
        <w:rPr>
          <w:sz w:val="20"/>
        </w:rPr>
        <w:t xml:space="preserve">технические средства для копирования и сканирования документов;</w:t>
      </w:r>
    </w:p>
    <w:p>
      <w:pPr>
        <w:pStyle w:val="0"/>
        <w:spacing w:before="200" w:line-rule="auto"/>
        <w:ind w:firstLine="540"/>
        <w:jc w:val="both"/>
      </w:pPr>
      <w:r>
        <w:rPr>
          <w:sz w:val="20"/>
        </w:rPr>
        <w:t xml:space="preserve">необходимые технические средства организации дорожного движения;</w:t>
      </w:r>
    </w:p>
    <w:p>
      <w:pPr>
        <w:pStyle w:val="0"/>
        <w:spacing w:before="200" w:line-rule="auto"/>
        <w:ind w:firstLine="540"/>
        <w:jc w:val="both"/>
      </w:pPr>
      <w:r>
        <w:rPr>
          <w:sz w:val="20"/>
        </w:rPr>
        <w:t xml:space="preserve">технические средства для определения географических координат;</w:t>
      </w:r>
    </w:p>
    <w:p>
      <w:pPr>
        <w:pStyle w:val="0"/>
        <w:spacing w:before="200" w:line-rule="auto"/>
        <w:ind w:firstLine="540"/>
        <w:jc w:val="both"/>
      </w:pPr>
      <w:r>
        <w:rPr>
          <w:sz w:val="20"/>
        </w:rPr>
        <w:t xml:space="preserve">эксплуатационную документацию на средства измерений, входящие в состав ППВГК;</w:t>
      </w:r>
    </w:p>
    <w:p>
      <w:pPr>
        <w:pStyle w:val="0"/>
        <w:spacing w:before="200" w:line-rule="auto"/>
        <w:ind w:firstLine="540"/>
        <w:jc w:val="both"/>
      </w:pPr>
      <w:r>
        <w:rPr>
          <w:sz w:val="20"/>
        </w:rPr>
        <w:t xml:space="preserve">блокирующие устройства для задержанных транспортных средств;</w:t>
      </w:r>
    </w:p>
    <w:p>
      <w:pPr>
        <w:pStyle w:val="0"/>
        <w:spacing w:before="200" w:line-rule="auto"/>
        <w:ind w:firstLine="540"/>
        <w:jc w:val="both"/>
      </w:pPr>
      <w:r>
        <w:rPr>
          <w:sz w:val="20"/>
        </w:rPr>
        <w:t xml:space="preserve">средства наружного освещения (при работе в темное время суток).</w:t>
      </w:r>
    </w:p>
    <w:bookmarkStart w:id="219" w:name="P219"/>
    <w:bookmarkEnd w:id="219"/>
    <w:p>
      <w:pPr>
        <w:pStyle w:val="0"/>
        <w:spacing w:before="200" w:line-rule="auto"/>
        <w:ind w:firstLine="540"/>
        <w:jc w:val="both"/>
      </w:pPr>
      <w:r>
        <w:rPr>
          <w:sz w:val="20"/>
        </w:rPr>
        <w:t xml:space="preserve">38. АПВГК должен включать:</w:t>
      </w:r>
    </w:p>
    <w:p>
      <w:pPr>
        <w:pStyle w:val="0"/>
        <w:spacing w:before="200" w:line-rule="auto"/>
        <w:ind w:firstLine="540"/>
        <w:jc w:val="both"/>
      </w:pPr>
      <w:r>
        <w:rPr>
          <w:sz w:val="20"/>
        </w:rPr>
        <w:t xml:space="preserve">оборудование измерения нагрузок на оси транспортных средств;</w:t>
      </w:r>
    </w:p>
    <w:p>
      <w:pPr>
        <w:pStyle w:val="0"/>
        <w:spacing w:before="200" w:line-rule="auto"/>
        <w:ind w:firstLine="540"/>
        <w:jc w:val="both"/>
      </w:pPr>
      <w:r>
        <w:rPr>
          <w:sz w:val="20"/>
        </w:rPr>
        <w:t xml:space="preserve">датчики определения скатности (количества колес) оси;</w:t>
      </w:r>
    </w:p>
    <w:p>
      <w:pPr>
        <w:pStyle w:val="0"/>
        <w:spacing w:before="200" w:line-rule="auto"/>
        <w:ind w:firstLine="540"/>
        <w:jc w:val="both"/>
      </w:pPr>
      <w:r>
        <w:rPr>
          <w:sz w:val="20"/>
        </w:rPr>
        <w:t xml:space="preserve">датчики определения количества осей транспортного средства и расстояния между ними;</w:t>
      </w:r>
    </w:p>
    <w:p>
      <w:pPr>
        <w:pStyle w:val="0"/>
        <w:spacing w:before="200" w:line-rule="auto"/>
        <w:ind w:firstLine="540"/>
        <w:jc w:val="both"/>
      </w:pPr>
      <w:r>
        <w:rPr>
          <w:sz w:val="20"/>
        </w:rPr>
        <w:t xml:space="preserve">оборудование для измерения габаритных параметров транспортных средств;</w:t>
      </w:r>
    </w:p>
    <w:p>
      <w:pPr>
        <w:pStyle w:val="0"/>
        <w:spacing w:before="200" w:line-rule="auto"/>
        <w:ind w:firstLine="540"/>
        <w:jc w:val="both"/>
      </w:pPr>
      <w:r>
        <w:rPr>
          <w:sz w:val="20"/>
        </w:rPr>
        <w:t xml:space="preserve">средства для формирования обзорной фотографии транспортных средств;</w:t>
      </w:r>
    </w:p>
    <w:p>
      <w:pPr>
        <w:pStyle w:val="0"/>
        <w:spacing w:before="200" w:line-rule="auto"/>
        <w:ind w:firstLine="540"/>
        <w:jc w:val="both"/>
      </w:pPr>
      <w:r>
        <w:rPr>
          <w:sz w:val="20"/>
        </w:rPr>
        <w:t xml:space="preserve">средства фотовидеофиксации государственных регистрационных номеров транспортных средств с функцией распознавания таких номеров и формирования фронтальной фотографии транспортных средств;</w:t>
      </w:r>
    </w:p>
    <w:p>
      <w:pPr>
        <w:pStyle w:val="0"/>
        <w:spacing w:before="200" w:line-rule="auto"/>
        <w:ind w:firstLine="540"/>
        <w:jc w:val="both"/>
      </w:pPr>
      <w:r>
        <w:rPr>
          <w:sz w:val="20"/>
        </w:rPr>
        <w:t xml:space="preserve">средства искусственного освещения дорожного полотна (для работы в темное время суток);</w:t>
      </w:r>
    </w:p>
    <w:p>
      <w:pPr>
        <w:pStyle w:val="0"/>
        <w:spacing w:before="200" w:line-rule="auto"/>
        <w:ind w:firstLine="540"/>
        <w:jc w:val="both"/>
      </w:pPr>
      <w:r>
        <w:rPr>
          <w:sz w:val="20"/>
        </w:rPr>
        <w:t xml:space="preserve">контроллеры взаимодействия с измерительным оборудованием;</w:t>
      </w:r>
    </w:p>
    <w:p>
      <w:pPr>
        <w:pStyle w:val="0"/>
        <w:spacing w:before="200" w:line-rule="auto"/>
        <w:ind w:firstLine="540"/>
        <w:jc w:val="both"/>
      </w:pPr>
      <w:r>
        <w:rPr>
          <w:sz w:val="20"/>
        </w:rPr>
        <w:t xml:space="preserve">оборудование, обеспечивающее криптографическую защиту передаваемой информации;</w:t>
      </w:r>
    </w:p>
    <w:p>
      <w:pPr>
        <w:pStyle w:val="0"/>
        <w:spacing w:before="200" w:line-rule="auto"/>
        <w:ind w:firstLine="540"/>
        <w:jc w:val="both"/>
      </w:pPr>
      <w:r>
        <w:rPr>
          <w:sz w:val="20"/>
        </w:rPr>
        <w:t xml:space="preserve">телекоммуникационное оборудование;</w:t>
      </w:r>
    </w:p>
    <w:p>
      <w:pPr>
        <w:pStyle w:val="0"/>
        <w:spacing w:before="200" w:line-rule="auto"/>
        <w:ind w:firstLine="540"/>
        <w:jc w:val="both"/>
      </w:pPr>
      <w:r>
        <w:rPr>
          <w:sz w:val="20"/>
        </w:rPr>
        <w:t xml:space="preserve">опоры для размещения навесного оборудования;</w:t>
      </w:r>
    </w:p>
    <w:p>
      <w:pPr>
        <w:pStyle w:val="0"/>
        <w:spacing w:before="200" w:line-rule="auto"/>
        <w:ind w:firstLine="540"/>
        <w:jc w:val="both"/>
      </w:pPr>
      <w:r>
        <w:rPr>
          <w:sz w:val="20"/>
        </w:rPr>
        <w:t xml:space="preserve">шкаф в антивандальном исполнении для размещения вычислительного и телекоммуникационного оборудования.</w:t>
      </w:r>
    </w:p>
    <w:p>
      <w:pPr>
        <w:pStyle w:val="0"/>
        <w:spacing w:before="200" w:line-rule="auto"/>
        <w:ind w:firstLine="540"/>
        <w:jc w:val="both"/>
      </w:pPr>
      <w:r>
        <w:rPr>
          <w:sz w:val="20"/>
        </w:rPr>
        <w:t xml:space="preserve">39. Участки автомобильной дороги протяженностью 100 метров до места установки и 50 метров после места установки оборудования автоматического измерения весогабаритных параметров должны отвечать следующим требованиям:</w:t>
      </w:r>
    </w:p>
    <w:p>
      <w:pPr>
        <w:pStyle w:val="0"/>
        <w:spacing w:before="200" w:line-rule="auto"/>
        <w:ind w:firstLine="540"/>
        <w:jc w:val="both"/>
      </w:pPr>
      <w:r>
        <w:rPr>
          <w:sz w:val="20"/>
        </w:rPr>
        <w:t xml:space="preserve">продольный уклон не более 10 промилле (постоянный);</w:t>
      </w:r>
    </w:p>
    <w:p>
      <w:pPr>
        <w:pStyle w:val="0"/>
        <w:spacing w:before="200" w:line-rule="auto"/>
        <w:ind w:firstLine="540"/>
        <w:jc w:val="both"/>
      </w:pPr>
      <w:r>
        <w:rPr>
          <w:sz w:val="20"/>
        </w:rPr>
        <w:t xml:space="preserve">поперечный уклон не более 30 промилле;</w:t>
      </w:r>
    </w:p>
    <w:p>
      <w:pPr>
        <w:pStyle w:val="0"/>
        <w:spacing w:before="200" w:line-rule="auto"/>
        <w:ind w:firstLine="540"/>
        <w:jc w:val="both"/>
      </w:pPr>
      <w:r>
        <w:rPr>
          <w:sz w:val="20"/>
        </w:rPr>
        <w:t xml:space="preserve">прямые с допустимым радиусом кривизны в плане не менее 1 000 метров;</w:t>
      </w:r>
    </w:p>
    <w:p>
      <w:pPr>
        <w:pStyle w:val="0"/>
        <w:spacing w:before="200" w:line-rule="auto"/>
        <w:ind w:firstLine="540"/>
        <w:jc w:val="both"/>
      </w:pPr>
      <w:r>
        <w:rPr>
          <w:sz w:val="20"/>
        </w:rPr>
        <w:t xml:space="preserve">поперечная и продольная ровность проезжей части не должна превышать нормативных показателей и должна обеспечивать возможность измерений согласно метрологическим характеристикам средств измерений.</w:t>
      </w:r>
    </w:p>
    <w:p>
      <w:pPr>
        <w:pStyle w:val="0"/>
        <w:spacing w:before="200" w:line-rule="auto"/>
        <w:ind w:firstLine="540"/>
        <w:jc w:val="both"/>
      </w:pPr>
      <w:r>
        <w:rPr>
          <w:sz w:val="20"/>
        </w:rPr>
        <w:t xml:space="preserve">Соответствие мест установки оборудования АПВГК установленным в настоящем пункте требованиям должно подтверждаться результатами инструментального контроля, организованного владельцем автомобильной дороги и проводимого не реже одного раза в 3 месяца.</w:t>
      </w:r>
    </w:p>
    <w:p>
      <w:pPr>
        <w:pStyle w:val="0"/>
        <w:spacing w:before="200" w:line-rule="auto"/>
        <w:ind w:firstLine="540"/>
        <w:jc w:val="both"/>
      </w:pPr>
      <w:r>
        <w:rPr>
          <w:sz w:val="20"/>
        </w:rPr>
        <w:t xml:space="preserve">40. Оборудование АПВГК устанавливается на автомобильных дорогах на расстоянии не менее 100 метров перед и не менее 50 метров после участков ускорения или замедления движения (регулируемых или нерегулируемых перекрестков, специально отведенных мест для отдыха, остановок общественного транспорта, объектов сервиса, сужения или расширения дороги, примыкания полос торможения или разгона, железнодорожных переездов и иных мест), за исключением незаконных примыканий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1"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Часть 8 статьи 20</w:t>
        </w:r>
      </w:hyperlink>
      <w:r>
        <w:rPr>
          <w:sz w:val="20"/>
        </w:rPr>
        <w:t xml:space="preserve"> и </w:t>
      </w:r>
      <w:hyperlink w:history="0" r:id="rId22"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часть 12 статьи 22</w:t>
        </w:r>
      </w:hyperlink>
      <w:r>
        <w:rPr>
          <w:sz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АПВГК оборудуется программным обеспечением, позволяющим учитывать различный скоростной режим транспортного средства, в том числе при ускорении и замедлении движения транспортного средства.</w:t>
      </w:r>
    </w:p>
    <w:p>
      <w:pPr>
        <w:pStyle w:val="0"/>
        <w:spacing w:before="200" w:line-rule="auto"/>
        <w:ind w:firstLine="540"/>
        <w:jc w:val="both"/>
      </w:pPr>
      <w:r>
        <w:rPr>
          <w:sz w:val="20"/>
        </w:rPr>
        <w:t xml:space="preserve">41. В месте установки измерительного оборудования АПВГК должны быть выполнены мероприятия, соответствующие требованиям, приведенным в описании типа средства измерений, а также предприняты следующие организационно-технические меры по предотвращению уклонения от весогабаритного контроля:</w:t>
      </w:r>
    </w:p>
    <w:p>
      <w:pPr>
        <w:pStyle w:val="0"/>
        <w:spacing w:before="200" w:line-rule="auto"/>
        <w:ind w:firstLine="540"/>
        <w:jc w:val="both"/>
      </w:pPr>
      <w:r>
        <w:rPr>
          <w:sz w:val="20"/>
        </w:rPr>
        <w:t xml:space="preserve">установка оборудования измерения нагрузок на оси транспортных средств на всю ширину проезжей части с захватом краевой полосы у обочины и разделительной полосы (не менее 0,25 метра от краевой разметки);</w:t>
      </w:r>
    </w:p>
    <w:p>
      <w:pPr>
        <w:pStyle w:val="0"/>
        <w:spacing w:before="200" w:line-rule="auto"/>
        <w:ind w:firstLine="540"/>
        <w:jc w:val="both"/>
      </w:pPr>
      <w:r>
        <w:rPr>
          <w:sz w:val="20"/>
        </w:rPr>
        <w:t xml:space="preserve">нанесение на проезжую часть разметки типа </w:t>
      </w:r>
      <w:hyperlink w:history="0" r:id="rId23"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"1.1"</w:t>
        </w:r>
      </w:hyperlink>
      <w:r>
        <w:rPr>
          <w:sz w:val="20"/>
        </w:rPr>
        <w:t xml:space="preserve">, </w:t>
      </w:r>
      <w:hyperlink w:history="0" r:id="rId24"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"1.3"</w:t>
        </w:r>
      </w:hyperlink>
      <w:r>
        <w:rPr>
          <w:sz w:val="20"/>
        </w:rPr>
        <w:t xml:space="preserve"> &lt;10&gt;, требования которой должны быть продублированы дорожными знаками, а также установка дорожных ограждений;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5"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Приложение N 2</w:t>
        </w:r>
      </w:hyperlink>
      <w:r>
        <w:rPr>
          <w:sz w:val="20"/>
        </w:rPr>
        <w:t xml:space="preserve"> к Правилам дорожного движения Российской Федерации, утвержденным постановлением Совета Министров - Правительства Российской Федерации от 23 октября 1993 г. N 1090.</w:t>
      </w:r>
    </w:p>
    <w:p>
      <w:pPr>
        <w:pStyle w:val="0"/>
        <w:jc w:val="both"/>
      </w:pPr>
      <w:r>
        <w:rPr>
          <w:sz w:val="20"/>
        </w:rPr>
      </w:r>
    </w:p>
    <w:p>
      <w:pPr>
        <w:pStyle w:val="0"/>
        <w:ind w:firstLine="540"/>
        <w:jc w:val="both"/>
      </w:pPr>
      <w:r>
        <w:rPr>
          <w:sz w:val="20"/>
        </w:rPr>
        <w:t xml:space="preserve">установка технических средств организации дорожного движения.</w:t>
      </w:r>
    </w:p>
    <w:p>
      <w:pPr>
        <w:pStyle w:val="0"/>
        <w:spacing w:before="200" w:line-rule="auto"/>
        <w:ind w:firstLine="540"/>
        <w:jc w:val="both"/>
      </w:pPr>
      <w:r>
        <w:rPr>
          <w:sz w:val="20"/>
        </w:rPr>
        <w:t xml:space="preserve">42. После АПВГК по пути следования транспортных средств устанавливается оборудование, обеспечивающее визуальное информирование водителя ТКТС о превышении допустимых весогабаритных параметров транспортного средства.</w:t>
      </w:r>
    </w:p>
    <w:p>
      <w:pPr>
        <w:pStyle w:val="0"/>
        <w:spacing w:before="200" w:line-rule="auto"/>
        <w:ind w:firstLine="540"/>
        <w:jc w:val="both"/>
      </w:pPr>
      <w:r>
        <w:rPr>
          <w:sz w:val="20"/>
        </w:rPr>
        <w:t xml:space="preserve">Оборудование, обеспечивающее визуальное информирование водителя ТКТС о превышении допустимых весогабаритных параметров транспортного средства, устанавливается на расстоянии от АПВГК, обеспечивающем возможность восприятия водителем размещаемой на нем информации с учетом установленного на участке автомобильной дороги скоростного режима, а также должно соответствовать требованиям, предъявляемым к такому оборудованию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ГОСТ Р 56350-2015 "Интеллектуальные транспортные системы. Косвенное управление транспортными потоками. Требования к динамическим информационным табло" (М.: Стандартинформ, 2018), ГОСТ Р 56351-2015 "Интеллектуальные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 (М.: Стандартинформ, 2018).</w:t>
      </w:r>
    </w:p>
    <w:p>
      <w:pPr>
        <w:pStyle w:val="0"/>
        <w:jc w:val="both"/>
      </w:pPr>
      <w:r>
        <w:rPr>
          <w:sz w:val="20"/>
        </w:rPr>
      </w:r>
    </w:p>
    <w:p>
      <w:pPr>
        <w:pStyle w:val="0"/>
        <w:ind w:firstLine="540"/>
        <w:jc w:val="both"/>
      </w:pPr>
      <w:r>
        <w:rPr>
          <w:sz w:val="20"/>
        </w:rPr>
        <w:t xml:space="preserve">В процессе эксплуатации оборудование, обеспечивающее визуальное информирование водителя ТКТС о превышении допустимых весогабаритных параметров транспортного средства, должно соответствовать техническим требованиям, предъявляемым к нему заводом-изготовителем, и быть работоспособным.</w:t>
      </w:r>
    </w:p>
    <w:p>
      <w:pPr>
        <w:pStyle w:val="0"/>
        <w:spacing w:before="200" w:line-rule="auto"/>
        <w:ind w:firstLine="540"/>
        <w:jc w:val="both"/>
      </w:pPr>
      <w:r>
        <w:rPr>
          <w:sz w:val="20"/>
        </w:rPr>
        <w:t xml:space="preserve">На данном оборудовании отображается:</w:t>
      </w:r>
    </w:p>
    <w:p>
      <w:pPr>
        <w:pStyle w:val="0"/>
        <w:spacing w:before="200" w:line-rule="auto"/>
        <w:ind w:firstLine="540"/>
        <w:jc w:val="both"/>
      </w:pPr>
      <w:r>
        <w:rPr>
          <w:sz w:val="20"/>
        </w:rPr>
        <w:t xml:space="preserve">государственный регистрационный номер транспортного средства;</w:t>
      </w:r>
    </w:p>
    <w:p>
      <w:pPr>
        <w:pStyle w:val="0"/>
        <w:spacing w:before="200" w:line-rule="auto"/>
        <w:ind w:firstLine="540"/>
        <w:jc w:val="both"/>
      </w:pPr>
      <w:r>
        <w:rPr>
          <w:sz w:val="20"/>
        </w:rPr>
        <w:t xml:space="preserve">информация о факте превышения транспортным средством допустимых весогабаритных параметров.</w:t>
      </w:r>
    </w:p>
    <w:p>
      <w:pPr>
        <w:pStyle w:val="0"/>
        <w:spacing w:before="200" w:line-rule="auto"/>
        <w:ind w:firstLine="540"/>
        <w:jc w:val="both"/>
      </w:pPr>
      <w:r>
        <w:rPr>
          <w:sz w:val="20"/>
        </w:rPr>
        <w:t xml:space="preserve">43. Для участков автомобильных дорог, по которым осуществляется движение крупногабаритных транспортных средств, при устройстве АПВГК необходимо учитывать возможность пропуска указанных транспортных средств.</w:t>
      </w:r>
    </w:p>
    <w:p>
      <w:pPr>
        <w:pStyle w:val="0"/>
        <w:spacing w:before="200" w:line-rule="auto"/>
        <w:ind w:firstLine="540"/>
        <w:jc w:val="both"/>
      </w:pPr>
      <w:r>
        <w:rPr>
          <w:sz w:val="20"/>
        </w:rPr>
        <w:t xml:space="preserve">44. Средства измерений, применяемые при весогабаритном контроле, должны быть утвержденного типа и поверены. Их метрологические характеристики должны соответствовать метрологическим требованиям, указанным в </w:t>
      </w:r>
      <w:hyperlink w:history="0" r:id="rId26" w:tooltip="Постановление Правительства РФ от 16.11.2020 N 1847 (ред. от 07.02.2023) &quot;Об утверждении перечня измерений, относящихся к сфере государственного регулирования обеспечения единства измерений&quot; {КонсультантПлюс}">
        <w:r>
          <w:rPr>
            <w:sz w:val="20"/>
            <w:color w:val="0000ff"/>
          </w:rPr>
          <w:t xml:space="preserve">перечне</w:t>
        </w:r>
      </w:hyperlink>
      <w:r>
        <w:rPr>
          <w:sz w:val="20"/>
        </w:rPr>
        <w:t xml:space="preserve"> измерений, относящихся к сфере государственного регулирования обеспечения единства измерений &lt;12&gt;, а также характеристикам, указанным в описании типа средств измерений.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7" w:tooltip="Постановление Правительства РФ от 16.11.2020 N 1847 (ред. от 07.02.2023) &quot;Об утверждении перечня измерений, относящихся к сфере государственного регулирования обеспечения единства измерений&quot; {КонсультантПлюс}">
        <w:r>
          <w:rPr>
            <w:sz w:val="20"/>
            <w:color w:val="0000ff"/>
          </w:rPr>
          <w:t xml:space="preserve">Постановление</w:t>
        </w:r>
      </w:hyperlink>
      <w:r>
        <w:rPr>
          <w:sz w:val="20"/>
        </w:rPr>
        <w:t xml:space="preserve"> Правительства Российской Федерации от 16 ноября 2020 г. N 1847.</w:t>
      </w:r>
    </w:p>
    <w:p>
      <w:pPr>
        <w:pStyle w:val="0"/>
        <w:jc w:val="both"/>
      </w:pPr>
      <w:r>
        <w:rPr>
          <w:sz w:val="20"/>
        </w:rPr>
      </w:r>
    </w:p>
    <w:p>
      <w:pPr>
        <w:pStyle w:val="0"/>
        <w:ind w:firstLine="540"/>
        <w:jc w:val="both"/>
      </w:pPr>
      <w:r>
        <w:rPr>
          <w:sz w:val="20"/>
        </w:rPr>
        <w:t xml:space="preserve">При размещении оборудования, используемого при весогабаритном контроле, должны соблюдаться положения настоящего Порядка, а также требования, установленные в эксплуатационной документации и в описании типа средств измерений.</w:t>
      </w:r>
    </w:p>
    <w:p>
      <w:pPr>
        <w:pStyle w:val="0"/>
        <w:spacing w:before="200" w:line-rule="auto"/>
        <w:ind w:firstLine="540"/>
        <w:jc w:val="both"/>
      </w:pPr>
      <w:r>
        <w:rPr>
          <w:sz w:val="20"/>
        </w:rPr>
        <w:t xml:space="preserve">Владелец указанного оборудования должен содержать его в работоспособном состоянии.</w:t>
      </w:r>
    </w:p>
    <w:p>
      <w:pPr>
        <w:pStyle w:val="0"/>
        <w:spacing w:before="200" w:line-rule="auto"/>
        <w:ind w:firstLine="540"/>
        <w:jc w:val="both"/>
      </w:pPr>
      <w:r>
        <w:rPr>
          <w:sz w:val="20"/>
        </w:rPr>
        <w:t xml:space="preserve">45. Участок автомобильной дороги, на котором осуществляется весогабаритный контроль, должен быть обустроен необходимыми техническими средствами организации дорожного движения в соответствии с проектом (схемой) организации дорожного движения, предусматривающими в том числе информирование водителя транспортного средства на расстоянии (не менее чем за 50 метров перед установленным весоизмерительным оборудованием АПВГК по пути следования транспортного средства) о приближении к АПВГК и о необходимости равномерного движения транспортного средства при проезде АПВГК.</w:t>
      </w:r>
    </w:p>
    <w:p>
      <w:pPr>
        <w:pStyle w:val="0"/>
        <w:spacing w:before="200" w:line-rule="auto"/>
        <w:ind w:firstLine="540"/>
        <w:jc w:val="both"/>
      </w:pPr>
      <w:r>
        <w:rPr>
          <w:sz w:val="20"/>
        </w:rPr>
        <w:t xml:space="preserve">46. Владельцы автомобильных дорог для вновь вводимых в эксплуатацию АПВГК должны обеспечить их работу в тестовом режиме в течение трех месяцев, а также информирование пользователей автомобильных дорог о работе АПВГК в тестовом режиме, включая сроки такой работы, на своих официальных сайтах в информационно-телекоммуникационной сети "Интернет" не позднее, чем за неделю до начала работы такого АПВГК в тестовом режиме.</w:t>
      </w:r>
    </w:p>
    <w:p>
      <w:pPr>
        <w:pStyle w:val="0"/>
        <w:spacing w:before="200" w:line-rule="auto"/>
        <w:ind w:firstLine="540"/>
        <w:jc w:val="both"/>
      </w:pPr>
      <w:r>
        <w:rPr>
          <w:sz w:val="20"/>
        </w:rPr>
        <w:t xml:space="preserve">47. В рамках тестового режима функционирование АПВГК осуществляется с фиксацией весогабаритных параметров транспортных средств и размещением владельцами автомобильных дорог результатов измерений на своих официальных сайтах в информационно-телекоммуникационной сети "Интернет" (в случае фиксации превышения весогабаритных параметров транспортных средств) без передачи соответствующей информации в уполномоченный контрольно-надзорный орган.</w:t>
      </w:r>
    </w:p>
    <w:p>
      <w:pPr>
        <w:pStyle w:val="0"/>
        <w:spacing w:before="200" w:line-rule="auto"/>
        <w:ind w:firstLine="540"/>
        <w:jc w:val="both"/>
      </w:pPr>
      <w:r>
        <w:rPr>
          <w:sz w:val="20"/>
        </w:rPr>
        <w:t xml:space="preserve">48. Доступ к соответствующим результатам измерений на официальных сайтах в информационно-телекоммуникационной сети "Интернет" обеспечивается владельцами автомобильных дорог на основании запроса, содержащего государственный регистрационный номер транспортного средства.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Минтранса России от 31.08.2020 N 348</w:t>
            <w:br/>
            <w:t>"Об утверждении Порядка осуществления весового и габаритного контроля трансп...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BC5EF320DB0C11ECDEE2C2CA14A79A20709EFA05C9FC24DA6B7758EE8E0ABC2C729A1DF2CF4C56BB950A6FED8534A21B39587BFD345D7D1lBq5M" TargetMode = "External"/>
	<Relationship Id="rId8" Type="http://schemas.openxmlformats.org/officeDocument/2006/relationships/hyperlink" Target="consultantplus://offline/ref=FBC5EF320DB0C11ECDEE2C2CA14A79A20709EFA45998C24DA6B7758EE8E0ABC2C729A1DF2CF4C364B650A6FED8534A21B39587BFD345D7D1lBq5M" TargetMode = "External"/>
	<Relationship Id="rId9" Type="http://schemas.openxmlformats.org/officeDocument/2006/relationships/hyperlink" Target="consultantplus://offline/ref=FBC5EF320DB0C11ECDEE2C2CA14A79A20709E9A25C9CC24DA6B7758EE8E0ABC2C729A1DF28F1C939E11FA7A29E0E5922BA9584BECFl4q4M" TargetMode = "External"/>
	<Relationship Id="rId10" Type="http://schemas.openxmlformats.org/officeDocument/2006/relationships/hyperlink" Target="consultantplus://offline/ref=FBC5EF320DB0C11ECDEE2C2CA14A79A2070CEFA05C90C24DA6B7758EE8E0ABC2D529F9D32EFCDC6CB145F0AF9El0q5M" TargetMode = "External"/>
	<Relationship Id="rId11" Type="http://schemas.openxmlformats.org/officeDocument/2006/relationships/hyperlink" Target="consultantplus://offline/ref=FBC5EF320DB0C11ECDEE2C2CA14A79A20708E6A25B91C24DA6B7758EE8E0ABC2C729A1DF2CF4C26EB550A6FED8534A21B39587BFD345D7D1lBq5M" TargetMode = "External"/>
	<Relationship Id="rId12" Type="http://schemas.openxmlformats.org/officeDocument/2006/relationships/hyperlink" Target="consultantplus://offline/ref=FBC5EF320DB0C11ECDEE2C2CA14A79A20709ECA45C9FC24DA6B7758EE8E0ABC2D529F9D32EFCDC6CB145F0AF9El0q5M" TargetMode = "External"/>
	<Relationship Id="rId13" Type="http://schemas.openxmlformats.org/officeDocument/2006/relationships/hyperlink" Target="consultantplus://offline/ref=FBC5EF320DB0C11ECDEE2C2CA14A79A2020BE6A75B98C24DA6B7758EE8E0ABC2D529F9D32EFCDC6CB145F0AF9El0q5M" TargetMode = "External"/>
	<Relationship Id="rId14" Type="http://schemas.openxmlformats.org/officeDocument/2006/relationships/hyperlink" Target="consultantplus://offline/ref=FBC5EF320DB0C11ECDEE2C2CA14A79A20005E8A55A90C24DA6B7758EE8E0ABC2D529F9D32EFCDC6CB145F0AF9El0q5M" TargetMode = "External"/>
	<Relationship Id="rId15" Type="http://schemas.openxmlformats.org/officeDocument/2006/relationships/hyperlink" Target="consultantplus://offline/ref=FBC5EF320DB0C11ECDEE2C2CA14A79A20709EFA1589AC24DA6B7758EE8E0ABC2D529F9D32EFCDC6CB145F0AF9El0q5M" TargetMode = "External"/>
	<Relationship Id="rId16" Type="http://schemas.openxmlformats.org/officeDocument/2006/relationships/hyperlink" Target="consultantplus://offline/ref=FBC5EF320DB0C11ECDEE2C2CA14A79A20709EFA05C9FC24DA6B7758EE8E0ABC2C729A1D728FF963CF40EFFAD94184622A58986BClCqEM" TargetMode = "External"/>
	<Relationship Id="rId17" Type="http://schemas.openxmlformats.org/officeDocument/2006/relationships/hyperlink" Target="consultantplus://offline/ref=FBC5EF320DB0C11ECDEE2C2CA14A79A2000BEFA1539CC24DA6B7758EE8E0ABC2C729A1DF2CF4C26CB050A6FED8534A21B39587BFD345D7D1lBq5M" TargetMode = "External"/>
	<Relationship Id="rId18" Type="http://schemas.openxmlformats.org/officeDocument/2006/relationships/hyperlink" Target="consultantplus://offline/ref=FBC5EF320DB0C11ECDEE2C2CA14A79A20709EEA45C99C24DA6B7758EE8E0ABC2C729A1DF2CF4C26EB850A6FED8534A21B39587BFD345D7D1lBq5M" TargetMode = "External"/>
	<Relationship Id="rId19" Type="http://schemas.openxmlformats.org/officeDocument/2006/relationships/hyperlink" Target="consultantplus://offline/ref=FBC5EF320DB0C11ECDEE2C2CA14A79A20709E7AB5B90C24DA6B7758EE8E0ABC2C729A1DF2CF4C26CB550A6FED8534A21B39587BFD345D7D1lBq5M" TargetMode = "External"/>
	<Relationship Id="rId20" Type="http://schemas.openxmlformats.org/officeDocument/2006/relationships/hyperlink" Target="consultantplus://offline/ref=FBC5EF320DB0C11ECDEE2C2CA14A79A20709E7AB5B90C24DA6B7758EE8E0ABC2D529F9D32EFCDC6CB145F0AF9El0q5M" TargetMode = "External"/>
	<Relationship Id="rId21" Type="http://schemas.openxmlformats.org/officeDocument/2006/relationships/hyperlink" Target="consultantplus://offline/ref=FBC5EF320DB0C11ECDEE2C2CA14A79A20709EFA05C9FC24DA6B7758EE8E0ABC2C729A1DF2CF4C46CB850A6FED8534A21B39587BFD345D7D1lBq5M" TargetMode = "External"/>
	<Relationship Id="rId22" Type="http://schemas.openxmlformats.org/officeDocument/2006/relationships/hyperlink" Target="consultantplus://offline/ref=FBC5EF320DB0C11ECDEE2C2CA14A79A20709EFA05C9FC24DA6B7758EE8E0ABC2C729A1DF2CF4C46FB150A6FED8534A21B39587BFD345D7D1lBq5M" TargetMode = "External"/>
	<Relationship Id="rId23" Type="http://schemas.openxmlformats.org/officeDocument/2006/relationships/hyperlink" Target="consultantplus://offline/ref=FBC5EF320DB0C11ECDEE2C2CA14A79A20709E7AB5B90C24DA6B7758EE8E0ABC2C729A1DD25F6C939E11FA7A29E0E5922BA9584BECFl4q4M" TargetMode = "External"/>
	<Relationship Id="rId24" Type="http://schemas.openxmlformats.org/officeDocument/2006/relationships/hyperlink" Target="consultantplus://offline/ref=FBC5EF320DB0C11ECDEE2C2CA14A79A20709E7AB5B90C24DA6B7758EE8E0ABC2C729A1DD25F2C939E11FA7A29E0E5922BA9584BECFl4q4M" TargetMode = "External"/>
	<Relationship Id="rId25" Type="http://schemas.openxmlformats.org/officeDocument/2006/relationships/hyperlink" Target="consultantplus://offline/ref=FBC5EF320DB0C11ECDEE2C2CA14A79A20709E7AB5B90C24DA6B7758EE8E0ABC2C729A1DF2CF4C464B950A6FED8534A21B39587BFD345D7D1lBq5M" TargetMode = "External"/>
	<Relationship Id="rId26" Type="http://schemas.openxmlformats.org/officeDocument/2006/relationships/hyperlink" Target="consultantplus://offline/ref=FBC5EF320DB0C11ECDEE2C2CA14A79A20709EFA1589AC24DA6B7758EE8E0ABC2C729A1DF2CF4C26CB150A6FED8534A21B39587BFD345D7D1lBq5M" TargetMode = "External"/>
	<Relationship Id="rId27" Type="http://schemas.openxmlformats.org/officeDocument/2006/relationships/hyperlink" Target="consultantplus://offline/ref=FBC5EF320DB0C11ECDEE2C2CA14A79A20709EFA1589AC24DA6B7758EE8E0ABC2D529F9D32EFCDC6CB145F0AF9El0q5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31.08.2020 N 348
"Об утверждении Порядка осуществления весового и габаритного контроля транспортных средств"
(Зарегистрировано в Минюсте России 04.12.2020 N 61252)</dc:title>
  <dcterms:created xsi:type="dcterms:W3CDTF">2023-11-28T12:42:36Z</dcterms:created>
</cp:coreProperties>
</file>